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9761A9">
      <w:pPr>
        <w:spacing w:before="240" w:afterLines="60"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D57C9C" w:rsidRDefault="00EC3DB6" w:rsidP="009761A9">
      <w:pPr>
        <w:spacing w:beforeLines="60" w:afterLines="60"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7E63D0" w:rsidRPr="00D57C9C">
        <w:rPr>
          <w:rFonts w:ascii="Times New Roman" w:eastAsia="Calibri" w:hAnsi="Times New Roman" w:cs="Times New Roman"/>
          <w:b/>
          <w:sz w:val="24"/>
          <w:szCs w:val="24"/>
        </w:rPr>
        <w:t>I</w:t>
      </w:r>
      <w:r w:rsidR="000449BD" w:rsidRPr="00D57C9C">
        <w:rPr>
          <w:rFonts w:ascii="Times New Roman" w:eastAsia="Calibri" w:hAnsi="Times New Roman" w:cs="Times New Roman"/>
          <w:b/>
          <w:sz w:val="24"/>
          <w:szCs w:val="24"/>
        </w:rPr>
        <w:t>I</w:t>
      </w:r>
      <w:r w:rsidRPr="00D57C9C">
        <w:rPr>
          <w:rFonts w:ascii="Times New Roman" w:eastAsia="Calibri" w:hAnsi="Times New Roman" w:cs="Times New Roman"/>
          <w:b/>
          <w:sz w:val="24"/>
          <w:szCs w:val="24"/>
          <w:lang w:val="vi-VN"/>
        </w:rPr>
        <w:t>I</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201</w:t>
      </w:r>
      <w:r w:rsidR="002A5222" w:rsidRPr="00D57C9C">
        <w:rPr>
          <w:rFonts w:ascii="Times New Roman" w:eastAsia="Calibri" w:hAnsi="Times New Roman" w:cs="Times New Roman"/>
          <w:b/>
          <w:sz w:val="24"/>
          <w:szCs w:val="24"/>
        </w:rPr>
        <w:t>8</w:t>
      </w:r>
    </w:p>
    <w:p w:rsidR="003E3718" w:rsidRPr="00D57C9C" w:rsidRDefault="00E34A50" w:rsidP="009761A9">
      <w:pPr>
        <w:pStyle w:val="ListParagraph"/>
        <w:numPr>
          <w:ilvl w:val="0"/>
          <w:numId w:val="7"/>
        </w:numPr>
        <w:spacing w:before="240" w:afterLines="60"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Pr="00EC2E9D">
        <w:rPr>
          <w:rFonts w:ascii="Times New Roman" w:hAnsi="Times New Roman" w:cs="Times New Roman"/>
          <w:sz w:val="20"/>
          <w:szCs w:val="20"/>
          <w:lang w:val="vi-VN"/>
        </w:rPr>
        <w:t xml:space="preserve">: </w:t>
      </w:r>
      <w:r w:rsidR="00EC2E9D" w:rsidRPr="00EC2E9D">
        <w:rPr>
          <w:rFonts w:ascii="Times New Roman" w:hAnsi="Times New Roman" w:cs="Times New Roman"/>
          <w:sz w:val="20"/>
          <w:szCs w:val="20"/>
          <w:lang w:val="vi-VN"/>
        </w:rPr>
        <w:t>306</w:t>
      </w:r>
      <w:r w:rsidR="00EC2E9D">
        <w:rPr>
          <w:rFonts w:ascii="Times New Roman" w:hAnsi="Times New Roman" w:cs="Times New Roman"/>
          <w:sz w:val="20"/>
          <w:szCs w:val="20"/>
        </w:rPr>
        <w:t>.</w:t>
      </w:r>
      <w:r w:rsidR="00EC2E9D" w:rsidRPr="00EC2E9D">
        <w:rPr>
          <w:rFonts w:ascii="Times New Roman" w:hAnsi="Times New Roman" w:cs="Times New Roman"/>
          <w:sz w:val="20"/>
          <w:szCs w:val="20"/>
          <w:lang w:val="vi-VN"/>
        </w:rPr>
        <w:t>823</w:t>
      </w:r>
      <w:r w:rsidR="00EC2E9D">
        <w:rPr>
          <w:rFonts w:ascii="Times New Roman" w:hAnsi="Times New Roman" w:cs="Times New Roman"/>
          <w:sz w:val="20"/>
          <w:szCs w:val="20"/>
        </w:rPr>
        <w:t>.</w:t>
      </w:r>
      <w:r w:rsidR="00EC2E9D" w:rsidRPr="00EC2E9D">
        <w:rPr>
          <w:rFonts w:ascii="Times New Roman" w:hAnsi="Times New Roman" w:cs="Times New Roman"/>
          <w:sz w:val="20"/>
          <w:szCs w:val="20"/>
          <w:lang w:val="vi-VN"/>
        </w:rPr>
        <w:t>342</w:t>
      </w:r>
      <w:r w:rsidR="00EC2E9D">
        <w:rPr>
          <w:rFonts w:ascii="Times New Roman" w:hAnsi="Times New Roman" w:cs="Times New Roman"/>
          <w:sz w:val="20"/>
          <w:szCs w:val="20"/>
        </w:rPr>
        <w:t>.</w:t>
      </w:r>
      <w:r w:rsidR="00EC2E9D" w:rsidRPr="00EC2E9D">
        <w:rPr>
          <w:rFonts w:ascii="Times New Roman" w:hAnsi="Times New Roman" w:cs="Times New Roman"/>
          <w:sz w:val="20"/>
          <w:szCs w:val="20"/>
          <w:lang w:val="vi-VN"/>
        </w:rPr>
        <w:t>100</w:t>
      </w:r>
      <w:r w:rsidR="00626C24" w:rsidRPr="00D57C9C">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dựa trên số vốn thực góp của nhà đầu tư.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Tần suất giao dịch chứng chỉ quỹ mở VFMVF1: </w:t>
      </w:r>
      <w:r w:rsidRPr="00D57C9C">
        <w:rPr>
          <w:rFonts w:ascii="Times New Roman" w:eastAsia="Times New Roman" w:hAnsi="Times New Roman" w:cs="Times New Roman"/>
          <w:bCs/>
          <w:sz w:val="20"/>
          <w:szCs w:val="20"/>
          <w:lang w:val="vi-VN" w:eastAsia="en-GB"/>
        </w:rPr>
        <w:t>hàng ngày</w:t>
      </w:r>
      <w:r w:rsidR="00807FB4" w:rsidRPr="00D57C9C">
        <w:rPr>
          <w:rFonts w:ascii="Times New Roman" w:eastAsia="Times New Roman" w:hAnsi="Times New Roman" w:cs="Times New Roman"/>
          <w:bCs/>
          <w:sz w:val="20"/>
          <w:szCs w:val="20"/>
          <w:lang w:val="vi-VN" w:eastAsia="en-GB"/>
        </w:rPr>
        <w:t xml:space="preserve"> </w:t>
      </w:r>
      <w:r w:rsidR="007A3546" w:rsidRPr="00D57C9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Pr="00D57C9C"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 Điều lệ quỹ và Bản cáo bạch.</w:t>
      </w:r>
    </w:p>
    <w:p w:rsidR="00242C10" w:rsidRPr="00D57C9C" w:rsidRDefault="00242C10"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Cơ cấu danh mục đầu tư của Quỹ VFMVF1 bao gồm chứng khoán của ít nhất sáu (06) tổ chức phát hành, đồng thời phải đảm bảo: </w:t>
      </w:r>
    </w:p>
    <w:p w:rsidR="00EF7A79" w:rsidRPr="00D57C9C" w:rsidRDefault="00242C10"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a)</w:t>
      </w:r>
      <w:r w:rsidRPr="00D57C9C">
        <w:rPr>
          <w:rFonts w:ascii="Times New Roman" w:eastAsia="Times New Roman" w:hAnsi="Times New Roman" w:cs="Times New Roman"/>
          <w:bCs/>
          <w:sz w:val="20"/>
          <w:szCs w:val="20"/>
          <w:lang w:val="vi-VN" w:eastAsia="en-GB"/>
        </w:rPr>
        <w:tab/>
      </w:r>
      <w:r w:rsidR="00EF7A79" w:rsidRPr="00D57C9C">
        <w:rPr>
          <w:rFonts w:ascii="Times New Roman" w:eastAsia="Times New Roman" w:hAnsi="Times New Roman" w:cs="Times New Roman"/>
          <w:bCs/>
          <w:sz w:val="20"/>
          <w:szCs w:val="20"/>
          <w:lang w:val="vi-VN" w:eastAsia="en-GB"/>
        </w:rPr>
        <w:t>Trừ tiền gửi trên tài khoản thanh toán của quỹ tại ngân hàng giám sát, quỹ không được nắm giữ quá bốn mươi chín phần trăm (49%) tổng giá trị tài sản của quỹ vào các tài sản theo quy định tại điểm a, b khoản 1 Điều 10 Điều lệ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lastRenderedPageBreak/>
        <w:t>b)</w:t>
      </w:r>
      <w:r w:rsidRPr="00D57C9C">
        <w:rPr>
          <w:rFonts w:ascii="Times New Roman" w:eastAsia="Times New Roman" w:hAnsi="Times New Roman" w:cs="Times New Roman"/>
          <w:bCs/>
          <w:sz w:val="20"/>
          <w:szCs w:val="20"/>
          <w:lang w:val="vi-VN" w:eastAsia="en-GB"/>
        </w:rPr>
        <w:tab/>
        <w:t>Không được đầu tư quá ba mươi phần trăm (30%) tổng giá trị tài sản của quỹ vào các tài sản quy định tại điểm a, b, d, e, f khoản 1 Điều 10 Điều lệ Quỹ phát hành bởi một công ty hoặc một nhóm công ty có quan hệ sở hữu với nhau; trong đó phần đầu tư vào chứng khoán phái sinh là giá trị cam kết của hợp đồng xác định theo quy định tại khoản 3 Điều 56 Điều lệ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w:t>
      </w:r>
      <w:r w:rsidRPr="00D57C9C">
        <w:rPr>
          <w:rFonts w:ascii="Times New Roman" w:eastAsia="Times New Roman" w:hAnsi="Times New Roman" w:cs="Times New Roman"/>
          <w:bCs/>
          <w:sz w:val="20"/>
          <w:szCs w:val="20"/>
          <w:lang w:val="vi-VN"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w:t>
      </w:r>
      <w:r w:rsidRPr="00D57C9C">
        <w:rPr>
          <w:rFonts w:ascii="Times New Roman" w:eastAsia="Times New Roman" w:hAnsi="Times New Roman" w:cs="Times New Roman"/>
          <w:bCs/>
          <w:sz w:val="20"/>
          <w:szCs w:val="20"/>
          <w:lang w:val="vi-VN"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e)</w:t>
      </w:r>
      <w:r w:rsidRPr="00D57C9C">
        <w:rPr>
          <w:rFonts w:ascii="Times New Roman" w:eastAsia="Times New Roman" w:hAnsi="Times New Roman" w:cs="Times New Roman"/>
          <w:bCs/>
          <w:sz w:val="20"/>
          <w:szCs w:val="20"/>
          <w:lang w:val="vi-VN" w:eastAsia="en-GB"/>
        </w:rPr>
        <w:tab/>
        <w:t>Không được đầu tư quá mười phần trăm (10%) tổng giá trị tài sản của quỹ vào các tài sản quy định tại điểm e khoản 1 Điều 10 Điều lệ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f)</w:t>
      </w:r>
      <w:r w:rsidRPr="00D57C9C">
        <w:rPr>
          <w:rFonts w:ascii="Times New Roman" w:eastAsia="Times New Roman" w:hAnsi="Times New Roman" w:cs="Times New Roman"/>
          <w:bCs/>
          <w:sz w:val="20"/>
          <w:szCs w:val="20"/>
          <w:lang w:val="vi-VN" w:eastAsia="en-GB"/>
        </w:rPr>
        <w:tab/>
        <w:t>Tổng giá trị các hạng mục đầu tư lớn trong danh mục đầu tư của quỹ không được vượt quá bốn mươi phần trăm (40%) tổng giá trị tài sản của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w:t>
      </w:r>
      <w:r w:rsidRPr="00D57C9C">
        <w:rPr>
          <w:rFonts w:ascii="Times New Roman" w:eastAsia="Times New Roman" w:hAnsi="Times New Roman" w:cs="Times New Roman"/>
          <w:bCs/>
          <w:sz w:val="20"/>
          <w:szCs w:val="20"/>
          <w:lang w:val="vi-VN"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h)</w:t>
      </w:r>
      <w:r w:rsidRPr="00D57C9C">
        <w:rPr>
          <w:rFonts w:ascii="Times New Roman" w:eastAsia="Times New Roman" w:hAnsi="Times New Roman" w:cs="Times New Roman"/>
          <w:bCs/>
          <w:sz w:val="20"/>
          <w:szCs w:val="20"/>
          <w:lang w:val="vi-VN" w:eastAsia="en-GB"/>
        </w:rPr>
        <w:tab/>
        <w:t>Không được đầu tư vào các quỹ đầu tư chứng khoán, cổ phiếu của các công ty đầu tư chứng khoán thành lập và hoạt động tại Việt Nam;</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i)</w:t>
      </w:r>
      <w:r w:rsidRPr="00D57C9C">
        <w:rPr>
          <w:rFonts w:ascii="Times New Roman" w:eastAsia="Times New Roman" w:hAnsi="Times New Roman" w:cs="Times New Roman"/>
          <w:bCs/>
          <w:sz w:val="20"/>
          <w:szCs w:val="20"/>
          <w:lang w:val="vi-VN" w:eastAsia="en-GB"/>
        </w:rPr>
        <w:tab/>
        <w:t>Không được đầu tư trực tiếp vào bất động sản, đá quý, kim loại quý hiếm.</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p>
    <w:p w:rsidR="009720E0" w:rsidRPr="00D57C9C" w:rsidRDefault="009720E0" w:rsidP="00DB3A93">
      <w:pPr>
        <w:pStyle w:val="ListParagraph"/>
        <w:tabs>
          <w:tab w:val="left" w:pos="0"/>
        </w:tabs>
        <w:spacing w:before="120" w:after="120" w:line="240" w:lineRule="auto"/>
        <w:ind w:left="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D57C9C">
        <w:rPr>
          <w:rFonts w:ascii="Times New Roman" w:eastAsia="Times New Roman" w:hAnsi="Times New Roman" w:cs="Times New Roman"/>
          <w:bCs/>
          <w:sz w:val="20"/>
          <w:szCs w:val="20"/>
          <w:lang w:val="vi-VN" w:eastAsia="en-GB"/>
        </w:rPr>
        <w:t xml:space="preserve">Điều lệ Quỹ </w:t>
      </w:r>
      <w:r w:rsidRPr="00D57C9C">
        <w:rPr>
          <w:rFonts w:ascii="Times New Roman" w:eastAsia="Times New Roman" w:hAnsi="Times New Roman" w:cs="Times New Roman"/>
          <w:bCs/>
          <w:sz w:val="20"/>
          <w:szCs w:val="20"/>
          <w:lang w:val="vi-VN" w:eastAsia="en-GB"/>
        </w:rPr>
        <w:t>và chỉ do các nguyên nhân khách quan như sau:</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a)</w:t>
      </w:r>
      <w:r w:rsidRPr="00D57C9C">
        <w:rPr>
          <w:rFonts w:ascii="Times New Roman" w:eastAsia="Times New Roman" w:hAnsi="Times New Roman" w:cs="Times New Roman"/>
          <w:bCs/>
          <w:sz w:val="20"/>
          <w:szCs w:val="20"/>
          <w:lang w:val="vi-VN" w:eastAsia="en-GB"/>
        </w:rPr>
        <w:tab/>
        <w:t>Biến động giá trên thị trường của tài sản trong danh mục đầu tư của quỹ;</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b)</w:t>
      </w:r>
      <w:r w:rsidRPr="00D57C9C">
        <w:rPr>
          <w:rFonts w:ascii="Times New Roman" w:eastAsia="Times New Roman" w:hAnsi="Times New Roman" w:cs="Times New Roman"/>
          <w:bCs/>
          <w:sz w:val="20"/>
          <w:szCs w:val="20"/>
          <w:lang w:val="vi-VN" w:eastAsia="en-GB"/>
        </w:rPr>
        <w:tab/>
        <w:t>Thực hiện các khoản thanh toán hợp pháp của quỹ;</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w:t>
      </w:r>
      <w:r w:rsidRPr="00D57C9C">
        <w:rPr>
          <w:rFonts w:ascii="Times New Roman" w:eastAsia="Times New Roman" w:hAnsi="Times New Roman" w:cs="Times New Roman"/>
          <w:bCs/>
          <w:sz w:val="20"/>
          <w:szCs w:val="20"/>
          <w:lang w:val="vi-VN" w:eastAsia="en-GB"/>
        </w:rPr>
        <w:tab/>
        <w:t>Thực hiện lệnh giao dịch của nhà đầu tư.</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w:t>
      </w:r>
      <w:r w:rsidRPr="00D57C9C">
        <w:rPr>
          <w:rFonts w:ascii="Times New Roman" w:eastAsia="Times New Roman" w:hAnsi="Times New Roman" w:cs="Times New Roman"/>
          <w:bCs/>
          <w:sz w:val="20"/>
          <w:szCs w:val="20"/>
          <w:lang w:val="vi-VN" w:eastAsia="en-GB"/>
        </w:rPr>
        <w:tab/>
        <w:t>Hoạt động hợp nhất, sáp nhập các tổ chức phát hành;</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e)</w:t>
      </w:r>
      <w:r w:rsidRPr="00D57C9C">
        <w:rPr>
          <w:rFonts w:ascii="Times New Roman" w:eastAsia="Times New Roman" w:hAnsi="Times New Roman" w:cs="Times New Roman"/>
          <w:bCs/>
          <w:sz w:val="20"/>
          <w:szCs w:val="20"/>
          <w:lang w:val="vi-VN"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f)</w:t>
      </w:r>
      <w:r w:rsidRPr="00D57C9C">
        <w:rPr>
          <w:rFonts w:ascii="Times New Roman" w:eastAsia="Times New Roman" w:hAnsi="Times New Roman" w:cs="Times New Roman"/>
          <w:bCs/>
          <w:sz w:val="20"/>
          <w:szCs w:val="20"/>
          <w:lang w:val="vi-VN" w:eastAsia="en-GB"/>
        </w:rPr>
        <w:tab/>
        <w:t>Quỹ đang trong thời gian giải thể.</w:t>
      </w:r>
    </w:p>
    <w:p w:rsidR="00AD3CC3" w:rsidRPr="00D57C9C" w:rsidRDefault="00AD3CC3" w:rsidP="00DB3A9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D57C9C" w:rsidRDefault="00AD3CC3" w:rsidP="00DB3A9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Nếu phát sinh lợi nhuận, phải hạch toán ngay mọi khoản lợi nhuận có được cho quỹ.</w:t>
      </w:r>
    </w:p>
    <w:p w:rsidR="008923ED" w:rsidRPr="00D57C9C" w:rsidRDefault="00AD3CC3" w:rsidP="00DB3A9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D57C9C">
        <w:rPr>
          <w:rFonts w:ascii="Times New Roman" w:eastAsia="Times New Roman" w:hAnsi="Times New Roman" w:cs="Times New Roman"/>
          <w:bCs/>
          <w:sz w:val="20"/>
          <w:szCs w:val="20"/>
          <w:lang w:val="vi-VN" w:eastAsia="en-GB"/>
        </w:rPr>
        <w:t>.</w:t>
      </w: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3E3718" w:rsidRPr="00D57C9C" w:rsidRDefault="00C2491C" w:rsidP="00DB3A93">
      <w:pPr>
        <w:spacing w:line="240" w:lineRule="auto"/>
        <w:jc w:val="both"/>
        <w:rPr>
          <w:rFonts w:ascii="Times New Roman" w:hAnsi="Times New Roman" w:cs="Times New Roman"/>
          <w:b/>
          <w:sz w:val="20"/>
          <w:szCs w:val="20"/>
          <w:lang w:val="vi-VN"/>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r w:rsidR="00FA1EF3" w:rsidRPr="00D57C9C">
        <w:rPr>
          <w:rFonts w:ascii="Times New Roman" w:hAnsi="Times New Roman" w:cs="Times New Roman"/>
          <w:b/>
          <w:sz w:val="20"/>
          <w:szCs w:val="20"/>
          <w:lang w:val="vi-VN"/>
        </w:rPr>
        <w:br w:type="page"/>
      </w:r>
    </w:p>
    <w:p w:rsidR="003E3718" w:rsidRPr="00D57C9C" w:rsidRDefault="00E34A50" w:rsidP="009761A9">
      <w:pPr>
        <w:pStyle w:val="ListParagraph"/>
        <w:numPr>
          <w:ilvl w:val="0"/>
          <w:numId w:val="7"/>
        </w:numPr>
        <w:spacing w:before="240" w:afterLines="60"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Kỳ kế toán, đơn vị tiền tệ sử dụng trong kế toán:</w:t>
      </w:r>
    </w:p>
    <w:p w:rsidR="00B71FF1" w:rsidRPr="00D57C9C" w:rsidRDefault="00E34A50" w:rsidP="00DB3A93">
      <w:pPr>
        <w:spacing w:before="120" w:after="120"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 xml:space="preserve">Kỳ kế toán: </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D57C9C" w:rsidRDefault="00E34A50" w:rsidP="00DB3A93">
      <w:pPr>
        <w:spacing w:before="120" w:after="120"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 toán: </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D57C9C" w:rsidRDefault="00E34A50" w:rsidP="00DB3A93">
      <w:pPr>
        <w:spacing w:before="144" w:after="144"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Chế độ kế toán áp dụng: </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D57C9C" w:rsidRDefault="00E34A50" w:rsidP="00DB3A93">
      <w:pPr>
        <w:spacing w:before="144" w:after="144" w:line="240" w:lineRule="auto"/>
        <w:ind w:hanging="567"/>
        <w:jc w:val="both"/>
        <w:outlineLvl w:val="0"/>
        <w:rPr>
          <w:rFonts w:ascii="Times New Roman" w:eastAsia="Times New Roman" w:hAnsi="Times New Roman" w:cs="Times New Roman"/>
          <w:b/>
          <w:sz w:val="20"/>
          <w:szCs w:val="20"/>
          <w:lang w:val="vi-VN"/>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 xml:space="preserve">Tuyên bố về việc tuân thủ Chuẩn mực kế toán và Chế độ kế toán: </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D57C9C" w:rsidRDefault="00E34A50" w:rsidP="00DB3A93">
      <w:pPr>
        <w:spacing w:before="144" w:after="144" w:line="240" w:lineRule="auto"/>
        <w:ind w:hanging="567"/>
        <w:jc w:val="both"/>
        <w:outlineLvl w:val="0"/>
        <w:rPr>
          <w:rFonts w:ascii="Times New Roman" w:eastAsia="Times New Roman" w:hAnsi="Times New Roman" w:cs="Times New Roman"/>
          <w:b/>
          <w:sz w:val="20"/>
          <w:szCs w:val="20"/>
          <w:lang w:val="vi-VN"/>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 xml:space="preserve">Hình thức kế toán áp dụng: </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1746A9" w:rsidP="00DB3A93">
      <w:pPr>
        <w:keepNext/>
        <w:keepLines/>
        <w:spacing w:before="144" w:after="144" w:line="240" w:lineRule="auto"/>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9761A9">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Pr="00D57C9C" w:rsidRDefault="00A41DFC"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0839E2"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0839E2" w:rsidRPr="00D57C9C" w:rsidRDefault="000839E2" w:rsidP="00DB3A93">
      <w:pPr>
        <w:pStyle w:val="ListParagraph"/>
        <w:spacing w:before="144" w:after="144" w:line="240" w:lineRule="auto"/>
        <w:ind w:left="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87402D" w:rsidRPr="00D57C9C" w:rsidRDefault="000839E2" w:rsidP="00DB3A93">
      <w:pPr>
        <w:pStyle w:val="ListParagraph"/>
        <w:spacing w:before="144" w:after="144" w:line="240" w:lineRule="auto"/>
        <w:ind w:left="0"/>
        <w:contextualSpacing w:val="0"/>
        <w:jc w:val="both"/>
        <w:rPr>
          <w:rFonts w:ascii="Times New Roman" w:hAnsi="Times New Roman" w:cs="Times New Roman"/>
          <w:sz w:val="20"/>
          <w:szCs w:val="20"/>
        </w:rPr>
      </w:pPr>
      <w:r w:rsidRPr="00D57C9C">
        <w:rPr>
          <w:rFonts w:ascii="Times New Roman" w:hAnsi="Times New Roman" w:cs="Times New Roman"/>
          <w:sz w:val="20"/>
          <w:szCs w:val="20"/>
          <w:lang w:val="vi-VN"/>
        </w:rPr>
        <w:lastRenderedPageBreak/>
        <w:t>Cụ thể được xác định theo phương thức sau:</w:t>
      </w:r>
      <w:r w:rsidR="00E34A50" w:rsidRPr="00D57C9C">
        <w:rPr>
          <w:rFonts w:ascii="Times New Roman" w:hAnsi="Times New Roman" w:cs="Times New Roman"/>
          <w:sz w:val="20"/>
          <w:szCs w:val="20"/>
          <w:lang w:val="vi-VN"/>
        </w:rPr>
        <w:tab/>
      </w:r>
      <w:r w:rsidR="00E34A50" w:rsidRPr="00D57C9C">
        <w:rPr>
          <w:rFonts w:ascii="Times New Roman" w:hAnsi="Times New Roman" w:cs="Times New Roman"/>
          <w:sz w:val="20"/>
          <w:szCs w:val="20"/>
          <w:lang w:val="vi-VN"/>
        </w:rPr>
        <w:tab/>
      </w:r>
    </w:p>
    <w:p w:rsidR="0087402D" w:rsidRPr="00D57C9C" w:rsidRDefault="0031229B"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Tiền gử</w:t>
      </w:r>
      <w:r w:rsidR="00DB3A93" w:rsidRPr="00D57C9C">
        <w:rPr>
          <w:rFonts w:ascii="Times New Roman" w:hAnsi="Times New Roman" w:cs="Times New Roman"/>
          <w:sz w:val="20"/>
          <w:szCs w:val="20"/>
          <w:lang w:val="vi-VN"/>
        </w:rPr>
        <w:t xml:space="preserve">i </w:t>
      </w:r>
      <w:r w:rsidRPr="00D57C9C">
        <w:rPr>
          <w:rFonts w:ascii="Times New Roman" w:hAnsi="Times New Roman" w:cs="Times New Roman"/>
          <w:sz w:val="20"/>
          <w:szCs w:val="20"/>
          <w:lang w:val="vi-VN"/>
        </w:rPr>
        <w:t>kỳ hạn</w:t>
      </w:r>
    </w:p>
    <w:p w:rsidR="0031229B" w:rsidRPr="00D57C9C" w:rsidRDefault="0003326A"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rPr>
        <w:t xml:space="preserve">- </w:t>
      </w:r>
      <w:r w:rsidR="0031229B" w:rsidRPr="00D57C9C">
        <w:rPr>
          <w:rFonts w:ascii="Times New Roman" w:hAnsi="Times New Roman" w:cs="Times New Roman"/>
          <w:sz w:val="20"/>
          <w:szCs w:val="20"/>
          <w:lang w:val="vi-VN"/>
        </w:rPr>
        <w:t xml:space="preserve">Giá trị tiền gửi cộng lãi phải </w:t>
      </w:r>
      <w:proofErr w:type="gramStart"/>
      <w:r w:rsidR="0031229B" w:rsidRPr="00D57C9C">
        <w:rPr>
          <w:rFonts w:ascii="Times New Roman" w:hAnsi="Times New Roman" w:cs="Times New Roman"/>
          <w:sz w:val="20"/>
          <w:szCs w:val="20"/>
          <w:lang w:val="vi-VN"/>
        </w:rPr>
        <w:t>thu</w:t>
      </w:r>
      <w:proofErr w:type="gramEnd"/>
      <w:r w:rsidR="0031229B" w:rsidRPr="00D57C9C">
        <w:rPr>
          <w:rFonts w:ascii="Times New Roman" w:hAnsi="Times New Roman" w:cs="Times New Roman"/>
          <w:sz w:val="20"/>
          <w:szCs w:val="20"/>
          <w:lang w:val="vi-VN"/>
        </w:rPr>
        <w:t xml:space="preserve"> tính tới ngày trước ngày định giá.</w:t>
      </w:r>
    </w:p>
    <w:p w:rsidR="0087402D" w:rsidRPr="00D57C9C" w:rsidRDefault="0087402D"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1A4AD1"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D219E2" w:rsidRPr="00D57C9C" w:rsidRDefault="0003326A"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rPr>
        <w:t xml:space="preserve">- </w:t>
      </w:r>
      <w:r w:rsidR="001A4AD1" w:rsidRPr="00D57C9C">
        <w:rPr>
          <w:rFonts w:ascii="Times New Roman" w:hAnsi="Times New Roman" w:cs="Times New Roman"/>
          <w:sz w:val="20"/>
          <w:szCs w:val="20"/>
          <w:lang w:val="vi-VN"/>
        </w:rPr>
        <w:t>Giá mua cộng với lãi lũy kế tính tới ngày trước ngày định giá.</w:t>
      </w:r>
    </w:p>
    <w:p w:rsidR="0087402D" w:rsidRPr="00D57C9C" w:rsidRDefault="0087402D"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Trái phiếu niêm yết</w:t>
      </w:r>
    </w:p>
    <w:p w:rsidR="003E3718"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Trường hợp không có giao dịch nhiều hơn hai (02) tuần tính đến ngày trước ngày định giá hoặc chỉ có các giao dịch </w:t>
      </w:r>
      <w:r w:rsidR="00475D39" w:rsidRPr="00D57C9C">
        <w:rPr>
          <w:rFonts w:ascii="Times New Roman" w:hAnsi="Times New Roman" w:cs="Times New Roman"/>
          <w:sz w:val="20"/>
          <w:szCs w:val="20"/>
          <w:lang w:val="vi-VN"/>
        </w:rPr>
        <w:t>trên  hệ thống giao dịch tại Sở Giao dịch Chứng khoán</w:t>
      </w:r>
      <w:r w:rsidR="0003326A" w:rsidRPr="00D57C9C">
        <w:rPr>
          <w:rFonts w:ascii="Times New Roman" w:hAnsi="Times New Roman" w:cs="Times New Roman"/>
          <w:sz w:val="20"/>
          <w:szCs w:val="20"/>
          <w:lang w:val="vi-VN"/>
        </w:rPr>
        <w:t xml:space="preserve"> </w:t>
      </w:r>
      <w:r w:rsidRPr="00D57C9C">
        <w:rPr>
          <w:rFonts w:ascii="Times New Roman" w:hAnsi="Times New Roman" w:cs="Times New Roman"/>
          <w:sz w:val="20"/>
          <w:szCs w:val="20"/>
          <w:lang w:val="vi-VN"/>
        </w:rPr>
        <w:t>vớ</w:t>
      </w:r>
      <w:r w:rsidR="00DB3A93" w:rsidRPr="00D57C9C">
        <w:rPr>
          <w:rFonts w:ascii="Times New Roman" w:hAnsi="Times New Roman" w:cs="Times New Roman"/>
          <w:sz w:val="20"/>
          <w:szCs w:val="20"/>
          <w:lang w:val="vi-VN"/>
        </w:rPr>
        <w:t>i</w:t>
      </w:r>
      <w:r w:rsidR="00DB3A93" w:rsidRPr="00D57C9C">
        <w:rPr>
          <w:rFonts w:ascii="Times New Roman" w:hAnsi="Times New Roman" w:cs="Times New Roman"/>
          <w:sz w:val="20"/>
          <w:szCs w:val="20"/>
        </w:rPr>
        <w:t xml:space="preserve"> </w:t>
      </w:r>
      <w:r w:rsidRPr="00D57C9C">
        <w:rPr>
          <w:rFonts w:ascii="Times New Roman" w:hAnsi="Times New Roman" w:cs="Times New Roman"/>
          <w:sz w:val="20"/>
          <w:szCs w:val="20"/>
          <w:lang w:val="vi-VN"/>
        </w:rPr>
        <w:t>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xác định theo phương pháp đã được Ban Đại diện Quỹ chấp thuận (được chi tiết trong sổ tay định giá); </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cộng lãi lũy kế; </w:t>
      </w:r>
    </w:p>
    <w:p w:rsidR="00907CED"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Mệnh giá cộng lãi lũy kế.</w:t>
      </w:r>
    </w:p>
    <w:p w:rsidR="00AD549D" w:rsidRPr="00D57C9C" w:rsidRDefault="00AD549D"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Trường hợp quỹ đấu thầu thành công trái phiếu, thì trong thời gian chờ niêm yết bổ sung, trái phiếu này sẽ được định giá dựa trên lãi suất trúng thầu gần nhất.</w:t>
      </w:r>
    </w:p>
    <w:p w:rsidR="0087402D" w:rsidRPr="00D57C9C" w:rsidRDefault="0087402D"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Trái phiếu không niêm yết</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Ưu tiên thực hiện theo thứ tự từ trên xuống là một trong các mức giá sau:</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xác định theo Mô hình lý thuyết đã được BĐD quỹ chấp thuận (được chi tiết trong sổ tay định giá); </w:t>
      </w:r>
    </w:p>
    <w:p w:rsidR="004D197C" w:rsidRPr="00D57C9C" w:rsidRDefault="004D197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cộng lãi lũy kế; </w:t>
      </w:r>
    </w:p>
    <w:p w:rsidR="00D219E2" w:rsidRPr="00D57C9C" w:rsidRDefault="004D197C"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Mệnh giá cộng lãi lũy kế.</w:t>
      </w:r>
      <w:r w:rsidR="00D219E2" w:rsidRPr="00D57C9C">
        <w:rPr>
          <w:rFonts w:ascii="Times New Roman" w:hAnsi="Times New Roman" w:cs="Times New Roman"/>
          <w:sz w:val="20"/>
          <w:szCs w:val="20"/>
          <w:lang w:val="vi-VN"/>
        </w:rPr>
        <w:t xml:space="preserve"> </w:t>
      </w:r>
    </w:p>
    <w:p w:rsidR="0087402D" w:rsidRPr="00D57C9C" w:rsidRDefault="0087402D"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Chứng quyền gắn liền với trái phiếu chuyển đổi</w:t>
      </w:r>
    </w:p>
    <w:p w:rsidR="003E3718" w:rsidRPr="00D57C9C" w:rsidRDefault="00D219E2"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w:t>
      </w:r>
      <w:r w:rsidR="00DB3A93" w:rsidRPr="00D57C9C">
        <w:rPr>
          <w:rFonts w:ascii="Times New Roman" w:hAnsi="Times New Roman" w:cs="Times New Roman"/>
          <w:sz w:val="20"/>
          <w:szCs w:val="20"/>
          <w:lang w:val="vi-VN"/>
        </w:rPr>
        <w:t xml:space="preserve">- </w:t>
      </w:r>
      <w:r w:rsidR="00DB3A93" w:rsidRPr="00D57C9C">
        <w:rPr>
          <w:rFonts w:ascii="Times New Roman" w:hAnsi="Times New Roman" w:cs="Times New Roman"/>
          <w:sz w:val="20"/>
          <w:szCs w:val="20"/>
        </w:rPr>
        <w:t>Gi</w:t>
      </w:r>
      <w:r w:rsidR="004D197C" w:rsidRPr="00D57C9C">
        <w:rPr>
          <w:rFonts w:ascii="Times New Roman" w:hAnsi="Times New Roman" w:cs="Times New Roman"/>
          <w:sz w:val="20"/>
          <w:szCs w:val="20"/>
          <w:lang w:val="vi-VN"/>
        </w:rPr>
        <w:t>á bình quân củ</w:t>
      </w:r>
      <w:r w:rsidR="00DB3A93" w:rsidRPr="00D57C9C">
        <w:rPr>
          <w:rFonts w:ascii="Times New Roman" w:hAnsi="Times New Roman" w:cs="Times New Roman"/>
          <w:sz w:val="20"/>
          <w:szCs w:val="20"/>
          <w:lang w:val="vi-VN"/>
        </w:rPr>
        <w:t xml:space="preserve">a ba (03) </w:t>
      </w:r>
      <w:r w:rsidR="004D197C" w:rsidRPr="00D57C9C">
        <w:rPr>
          <w:rFonts w:ascii="Times New Roman" w:hAnsi="Times New Roman" w:cs="Times New Roman"/>
          <w:sz w:val="20"/>
          <w:szCs w:val="20"/>
          <w:lang w:val="vi-VN"/>
        </w:rPr>
        <w:t>tổ chức báo giá không phải là người có liên quan và được BĐD Quỹ phê duyệt</w:t>
      </w:r>
    </w:p>
    <w:p w:rsidR="00456D13" w:rsidRPr="00D57C9C" w:rsidRDefault="004D197C"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Hoặc trong trường hợp không có giao dịch, giá xác định theo phương pháp đã được BĐD quỹ chấp thuận.</w:t>
      </w:r>
    </w:p>
    <w:p w:rsidR="0087402D" w:rsidRPr="00D57C9C" w:rsidRDefault="0087402D"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w:t>
      </w:r>
      <w:r w:rsidR="009332F6" w:rsidRPr="00D57C9C">
        <w:rPr>
          <w:rFonts w:ascii="Times New Roman" w:hAnsi="Times New Roman" w:cs="Times New Roman"/>
          <w:sz w:val="20"/>
          <w:szCs w:val="20"/>
          <w:lang w:val="vi-VN"/>
        </w:rPr>
        <w:t>Cổ phiếu niêm yết trên Sở Giao dịch Chứng khoán Hồ Chí Minh hoặc Hà Nội</w:t>
      </w:r>
    </w:p>
    <w:p w:rsidR="003E3718"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Trường hợp không có giao dịch nhiều hơn hai (02) tuần tính đến ngày trước ngày định giá, ưu tiên thực hiện theo thứ tự từ trên xuống  là một trong các mức giá sau:</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đóng cửa (hoặc tên gọi khác, tùy thuộc vào quy định nội bộ của Sở giao dịch chứng khoán) của ngày có giao dịch gần nhất trong vòng 12 tháng trước ngày định giá; </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(giá cost); </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sổ sách; </w:t>
      </w:r>
    </w:p>
    <w:p w:rsidR="003E3718"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xác định theo phương pháp đã được BĐD quỹ chấp thuận.</w:t>
      </w:r>
    </w:p>
    <w:p w:rsidR="003E3718" w:rsidRPr="00D57C9C" w:rsidRDefault="007A3546"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Trong thời gian chứng khoán đang làm thủ tục chuyển sàn thì dùng giá đóng cửa cuối cùng của ngày có giao dịch gần nhất trước ngày định giá.</w:t>
      </w:r>
    </w:p>
    <w:p w:rsidR="0087402D" w:rsidRPr="00D57C9C" w:rsidRDefault="0087402D"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của Công ty đại chúng đăng ký giao dịch trên hệ thống UpCom</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mua (cost price); hoặc</w:t>
      </w:r>
    </w:p>
    <w:p w:rsidR="005A350C"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trị sổ sách; hoặc</w:t>
      </w:r>
    </w:p>
    <w:p w:rsidR="003E3718" w:rsidRPr="00D57C9C" w:rsidRDefault="005A350C"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lastRenderedPageBreak/>
        <w:t>+</w:t>
      </w:r>
      <w:r w:rsidR="001179DD" w:rsidRPr="00D57C9C">
        <w:rPr>
          <w:rFonts w:ascii="Times New Roman" w:hAnsi="Times New Roman" w:cs="Times New Roman"/>
          <w:sz w:val="20"/>
          <w:szCs w:val="20"/>
        </w:rPr>
        <w:t xml:space="preserve"> </w:t>
      </w:r>
      <w:r w:rsidRPr="00D57C9C">
        <w:rPr>
          <w:rFonts w:ascii="Times New Roman" w:hAnsi="Times New Roman" w:cs="Times New Roman"/>
          <w:sz w:val="20"/>
          <w:szCs w:val="20"/>
          <w:lang w:val="vi-VN"/>
        </w:rPr>
        <w:t>Giá xác định theo phương pháp đã được BĐD quỹ chấp thuận.</w:t>
      </w:r>
    </w:p>
    <w:p w:rsidR="003E3718" w:rsidRPr="00D57C9C" w:rsidRDefault="007A3546"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Trong thời gian chứng khoán ở sàn UPCOM làm thủ tục chuyển lên niêm yết thì dùng giá đóng cửa của ngày có giao dịch gần nhất trên sàn Upcom trước ngày định giá.</w:t>
      </w:r>
    </w:p>
    <w:p w:rsidR="003E3718" w:rsidRPr="00D57C9C" w:rsidRDefault="003E3718" w:rsidP="009761A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đã đăng ký, lưu ký nhưng chưa niêm yết, chưa đăng ký giao dịch</w:t>
      </w:r>
    </w:p>
    <w:p w:rsidR="003E3718" w:rsidRPr="00D57C9C" w:rsidRDefault="00230BF9"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D57C9C" w:rsidRDefault="00230BF9"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D57C9C" w:rsidRDefault="00DB3A93"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w:t>
      </w:r>
      <w:r w:rsidR="00230BF9" w:rsidRPr="00D57C9C">
        <w:rPr>
          <w:rFonts w:ascii="Times New Roman" w:hAnsi="Times New Roman" w:cs="Times New Roman"/>
          <w:sz w:val="20"/>
          <w:szCs w:val="20"/>
          <w:lang w:val="vi-VN"/>
        </w:rPr>
        <w:t xml:space="preserve">Giá trung bình từ 2 tổ chức báo giá không phải là người có liên quan và được BĐD Quỹ phê duyệt; </w:t>
      </w:r>
    </w:p>
    <w:p w:rsidR="00230BF9" w:rsidRPr="00D57C9C" w:rsidRDefault="00230BF9"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của kỳ báo cáo gần nhất nhưng không quá ba (03) tháng tính đến ngày định giá; </w:t>
      </w:r>
    </w:p>
    <w:p w:rsidR="00230BF9" w:rsidRPr="00D57C9C" w:rsidRDefault="00230BF9"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w:t>
      </w:r>
    </w:p>
    <w:p w:rsidR="00230BF9" w:rsidRPr="00D57C9C" w:rsidRDefault="00230BF9"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sổ sách; </w:t>
      </w:r>
    </w:p>
    <w:p w:rsidR="00D219E2" w:rsidRPr="00D57C9C" w:rsidRDefault="00230BF9"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Giá xác định theo Mô hình lý thuyết đã được BĐD quỹ chấp thuận.</w:t>
      </w:r>
    </w:p>
    <w:p w:rsidR="000F630B" w:rsidRPr="00D57C9C" w:rsidRDefault="000F630B"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bị đình chỉ giao dịch, hoặc hủy niêm yết hoặc hủy đăng ký giao dịch</w:t>
      </w:r>
    </w:p>
    <w:p w:rsidR="003E3718" w:rsidRPr="00D57C9C" w:rsidRDefault="00EC4530"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Ưu tiên thực hiện theo thứ tự từ trên xuống là một trong các mức giá sau:</w:t>
      </w:r>
    </w:p>
    <w:p w:rsidR="00EC4530" w:rsidRPr="00D57C9C" w:rsidRDefault="00AA3183"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w:t>
      </w:r>
      <w:r w:rsidR="00EC4530" w:rsidRPr="00D57C9C">
        <w:rPr>
          <w:rFonts w:ascii="Times New Roman" w:hAnsi="Times New Roman" w:cs="Times New Roman"/>
          <w:sz w:val="20"/>
          <w:szCs w:val="20"/>
          <w:lang w:val="vi-VN"/>
        </w:rPr>
        <w:t xml:space="preserve"> Giá trị sổ sách; </w:t>
      </w:r>
    </w:p>
    <w:p w:rsidR="00EC4530" w:rsidRPr="00D57C9C" w:rsidRDefault="00AA3183"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w:t>
      </w:r>
      <w:r w:rsidRPr="00D57C9C">
        <w:rPr>
          <w:rFonts w:ascii="Times New Roman" w:hAnsi="Times New Roman" w:cs="Times New Roman"/>
          <w:sz w:val="20"/>
          <w:szCs w:val="20"/>
        </w:rPr>
        <w:t xml:space="preserve"> </w:t>
      </w:r>
      <w:r w:rsidR="00EC4530" w:rsidRPr="00D57C9C">
        <w:rPr>
          <w:rFonts w:ascii="Times New Roman" w:hAnsi="Times New Roman" w:cs="Times New Roman"/>
          <w:sz w:val="20"/>
          <w:szCs w:val="20"/>
          <w:lang w:val="vi-VN"/>
        </w:rPr>
        <w:t xml:space="preserve">Mệnh giá; </w:t>
      </w:r>
    </w:p>
    <w:p w:rsidR="00D219E2" w:rsidRPr="00D57C9C" w:rsidRDefault="00AA3183"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w:t>
      </w:r>
      <w:r w:rsidRPr="00D57C9C">
        <w:rPr>
          <w:rFonts w:ascii="Times New Roman" w:hAnsi="Times New Roman" w:cs="Times New Roman"/>
          <w:sz w:val="20"/>
          <w:szCs w:val="20"/>
        </w:rPr>
        <w:t xml:space="preserve"> </w:t>
      </w:r>
      <w:r w:rsidR="00EC4530" w:rsidRPr="00D57C9C">
        <w:rPr>
          <w:rFonts w:ascii="Times New Roman" w:hAnsi="Times New Roman" w:cs="Times New Roman"/>
          <w:sz w:val="20"/>
          <w:szCs w:val="20"/>
          <w:lang w:val="vi-VN"/>
        </w:rPr>
        <w:t>Giá xác định theo phương pháp đã được BĐD quỹ chấp thuận.</w:t>
      </w:r>
    </w:p>
    <w:p w:rsidR="000F630B" w:rsidRPr="00D57C9C" w:rsidRDefault="000F630B"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của tổ chức trong tình trạng giải thể, phá sản</w:t>
      </w:r>
    </w:p>
    <w:p w:rsidR="003E3718" w:rsidRPr="00D57C9C" w:rsidRDefault="00EC4530"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Ưu tiên thực hiện theo thứ tự từ trên xuống là một trong các mức giá sau:</w:t>
      </w:r>
    </w:p>
    <w:p w:rsidR="00EC4530" w:rsidRPr="00D57C9C" w:rsidRDefault="00AA3183"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w:t>
      </w:r>
      <w:r w:rsidR="00EC4530" w:rsidRPr="00D57C9C">
        <w:rPr>
          <w:rFonts w:ascii="Times New Roman" w:hAnsi="Times New Roman" w:cs="Times New Roman"/>
          <w:sz w:val="20"/>
          <w:szCs w:val="20"/>
          <w:lang w:val="vi-VN"/>
        </w:rPr>
        <w:t xml:space="preserve"> 80% giá trị thanh lý của cổ phiếu đó tại ngày lập bảng cân đối kế toán gần nhất trước ngày định giá; </w:t>
      </w:r>
    </w:p>
    <w:p w:rsidR="00EB7003" w:rsidRPr="00D57C9C" w:rsidRDefault="00AA3183" w:rsidP="009761A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w:t>
      </w:r>
      <w:r w:rsidRPr="00D57C9C">
        <w:rPr>
          <w:rFonts w:ascii="Times New Roman" w:hAnsi="Times New Roman" w:cs="Times New Roman"/>
          <w:sz w:val="20"/>
          <w:szCs w:val="20"/>
        </w:rPr>
        <w:t xml:space="preserve"> </w:t>
      </w:r>
      <w:r w:rsidR="00EC4530" w:rsidRPr="00D57C9C">
        <w:rPr>
          <w:rFonts w:ascii="Times New Roman" w:hAnsi="Times New Roman" w:cs="Times New Roman"/>
          <w:sz w:val="20"/>
          <w:szCs w:val="20"/>
          <w:lang w:val="vi-VN"/>
        </w:rPr>
        <w:t>Giá xác định theo phương pháp đã được BĐD quỹ chấp thuậ</w:t>
      </w:r>
      <w:r w:rsidR="007E3155" w:rsidRPr="00D57C9C">
        <w:rPr>
          <w:rFonts w:ascii="Times New Roman" w:hAnsi="Times New Roman" w:cs="Times New Roman"/>
          <w:sz w:val="20"/>
          <w:szCs w:val="20"/>
          <w:lang w:val="vi-VN"/>
        </w:rPr>
        <w:t>n theo từng trường hợp cụ thể.</w:t>
      </w:r>
    </w:p>
    <w:p w:rsidR="000F630B" w:rsidRPr="00D57C9C" w:rsidRDefault="000F630B" w:rsidP="009761A9">
      <w:pPr>
        <w:pStyle w:val="ListParagraph"/>
        <w:spacing w:before="144" w:afterLines="144" w:line="240" w:lineRule="auto"/>
        <w:jc w:val="both"/>
        <w:rPr>
          <w:rFonts w:ascii="Times New Roman" w:hAnsi="Times New Roman" w:cs="Times New Roman"/>
          <w:sz w:val="20"/>
          <w:szCs w:val="20"/>
        </w:rPr>
      </w:pPr>
    </w:p>
    <w:p w:rsidR="003E3718" w:rsidRPr="00D57C9C" w:rsidRDefault="006B66B1"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Chứng khoán phái sinh niêm yết</w:t>
      </w:r>
    </w:p>
    <w:p w:rsidR="003E3718" w:rsidRPr="00D57C9C" w:rsidRDefault="006B66B1"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đóng cửa tại ngày giao dịch trước gần nhất trước ngày định giá</w:t>
      </w:r>
    </w:p>
    <w:p w:rsidR="00EB7003" w:rsidRPr="00D57C9C" w:rsidRDefault="00EB7003" w:rsidP="009761A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2859D5"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Chứng khoán phái sinh niêm yết không có giao dịch trong vòng 2 tuần trở lên</w:t>
      </w:r>
    </w:p>
    <w:p w:rsidR="003E3718" w:rsidRPr="00D57C9C" w:rsidRDefault="002859D5"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xác định theo phương pháp đã được ban đại diện quỹ chấp</w:t>
      </w:r>
      <w:r w:rsidR="00EC4530" w:rsidRPr="00D57C9C">
        <w:rPr>
          <w:rFonts w:ascii="Times New Roman" w:hAnsi="Times New Roman" w:cs="Times New Roman"/>
          <w:sz w:val="20"/>
          <w:szCs w:val="20"/>
          <w:lang w:val="vi-VN"/>
        </w:rPr>
        <w:t xml:space="preserve"> </w:t>
      </w:r>
      <w:r w:rsidRPr="00D57C9C">
        <w:rPr>
          <w:rFonts w:ascii="Times New Roman" w:hAnsi="Times New Roman" w:cs="Times New Roman"/>
          <w:sz w:val="20"/>
          <w:szCs w:val="20"/>
          <w:lang w:val="vi-VN"/>
        </w:rPr>
        <w:t>thuận theo từng trường hợp cụ thể.</w:t>
      </w:r>
    </w:p>
    <w:p w:rsidR="00F31A64" w:rsidRPr="00D57C9C" w:rsidRDefault="00F31A64" w:rsidP="009761A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6A04A8"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trị cam kết từ các hợp đồng phái sinh</w:t>
      </w:r>
    </w:p>
    <w:p w:rsidR="003E3718" w:rsidRPr="00D57C9C" w:rsidRDefault="006A04A8"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Được quy định chi tiết tại </w:t>
      </w:r>
      <w:r w:rsidR="002C534C" w:rsidRPr="00D57C9C">
        <w:rPr>
          <w:rFonts w:ascii="Times New Roman" w:hAnsi="Times New Roman" w:cs="Times New Roman"/>
          <w:sz w:val="20"/>
          <w:szCs w:val="20"/>
          <w:lang w:val="vi-VN"/>
        </w:rPr>
        <w:t>Sổ tay Định giá</w:t>
      </w:r>
    </w:p>
    <w:p w:rsidR="00F31A64" w:rsidRPr="00D57C9C" w:rsidRDefault="00F31A64" w:rsidP="009761A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747949" w:rsidP="009761A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Các tài sản được phép đầu tư khác</w:t>
      </w:r>
    </w:p>
    <w:p w:rsidR="003E3718" w:rsidRPr="00D57C9C" w:rsidRDefault="00747949"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xác định theo các phương pháp được qui định của pháp luật cho phép.</w:t>
      </w:r>
    </w:p>
    <w:p w:rsidR="00B86290" w:rsidRPr="00D57C9C" w:rsidRDefault="00B86290" w:rsidP="009761A9">
      <w:pPr>
        <w:pStyle w:val="ListParagraph"/>
        <w:spacing w:before="144" w:afterLines="144" w:line="240" w:lineRule="auto"/>
        <w:jc w:val="both"/>
        <w:rPr>
          <w:rFonts w:ascii="Times New Roman" w:hAnsi="Times New Roman" w:cs="Times New Roman"/>
          <w:sz w:val="20"/>
          <w:szCs w:val="20"/>
          <w:lang w:val="vi-VN"/>
        </w:rPr>
      </w:pPr>
    </w:p>
    <w:p w:rsidR="008F7A9B" w:rsidRPr="00D57C9C" w:rsidRDefault="008F7A9B" w:rsidP="009761A9">
      <w:pPr>
        <w:pStyle w:val="ListParagraph"/>
        <w:spacing w:before="144" w:afterLines="144" w:line="240" w:lineRule="auto"/>
        <w:jc w:val="both"/>
        <w:rPr>
          <w:rFonts w:ascii="Times New Roman" w:hAnsi="Times New Roman" w:cs="Times New Roman"/>
          <w:i/>
          <w:sz w:val="20"/>
          <w:szCs w:val="20"/>
          <w:lang w:val="vi-VN"/>
        </w:rPr>
      </w:pPr>
      <w:r w:rsidRPr="00D57C9C">
        <w:rPr>
          <w:rFonts w:ascii="Times New Roman" w:hAnsi="Times New Roman" w:cs="Times New Roman"/>
          <w:i/>
          <w:sz w:val="20"/>
          <w:szCs w:val="20"/>
          <w:lang w:val="vi-VN"/>
        </w:rPr>
        <w:t>Ghi chú :</w:t>
      </w:r>
    </w:p>
    <w:p w:rsidR="008F7A9B" w:rsidRPr="00D57C9C" w:rsidRDefault="008F7A9B"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Lãi lũy kế: là khoản lãi tính từ thời điểm trả lãi gần nhất tới thời điểm trước ngày định giá;</w:t>
      </w:r>
    </w:p>
    <w:p w:rsidR="008F7A9B" w:rsidRPr="00D57C9C" w:rsidRDefault="008F7A9B"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trị sổ sách của một cổ phiếu được xác định trên cơ sở báo cáo tài chính gần nhất đã được kiểm toán hoặc soát xét.</w:t>
      </w:r>
    </w:p>
    <w:p w:rsidR="008F7A9B" w:rsidRPr="00D57C9C" w:rsidRDefault="008F7A9B" w:rsidP="009761A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Ngày được hiểu là ngày theo lịch dương.</w:t>
      </w:r>
    </w:p>
    <w:p w:rsidR="002B2238" w:rsidRPr="00D57C9C" w:rsidRDefault="008F7A9B" w:rsidP="009761A9">
      <w:pPr>
        <w:pStyle w:val="ListParagraph"/>
        <w:spacing w:before="144" w:afterLines="144" w:line="240" w:lineRule="auto"/>
        <w:contextualSpacing w:val="0"/>
        <w:jc w:val="both"/>
        <w:rPr>
          <w:rFonts w:ascii="Times New Roman" w:hAnsi="Times New Roman" w:cs="Times New Roman"/>
          <w:sz w:val="20"/>
          <w:szCs w:val="20"/>
        </w:rPr>
      </w:pPr>
      <w:r w:rsidRPr="00D57C9C">
        <w:rPr>
          <w:rFonts w:ascii="Times New Roman" w:hAnsi="Times New Roman" w:cs="Times New Roman"/>
          <w:sz w:val="20"/>
          <w:szCs w:val="20"/>
          <w:lang w:val="vi-VN"/>
        </w:rPr>
        <w:t>- Các phương thức định giá được chi tiết tại Sổ tay định giá.</w:t>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lastRenderedPageBreak/>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Đối với các khoản nợ phải thu quá hạn thanh toán được trích lập thì mức trích lập dự phòng theo hướng dẫn của Thông tư số 228/2009/TT-BTC do Bộ Tài Chính ban hành ngày 07 tháng 12 năm 2009: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Trên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Các khoản phải trả: </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w:t>
      </w:r>
      <w:proofErr w:type="gramStart"/>
      <w:r w:rsidRPr="00D57C9C">
        <w:rPr>
          <w:rFonts w:ascii="Times New Roman" w:eastAsia="Times New Roman" w:hAnsi="Times New Roman" w:cs="Times New Roman"/>
          <w:bCs/>
          <w:sz w:val="20"/>
          <w:szCs w:val="20"/>
          <w:lang w:eastAsia="en-GB"/>
        </w:rPr>
        <w:t>thu</w:t>
      </w:r>
      <w:proofErr w:type="gramEnd"/>
      <w:r w:rsidRPr="00D57C9C">
        <w:rPr>
          <w:rFonts w:ascii="Times New Roman" w:eastAsia="Times New Roman" w:hAnsi="Times New Roman" w:cs="Times New Roman"/>
          <w:bCs/>
          <w:sz w:val="20"/>
          <w:szCs w:val="20"/>
          <w:lang w:eastAsia="en-GB"/>
        </w:rPr>
        <w:t xml:space="preserve">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Công ty Quản lý Quỹ có trách nhiệm khấu trừ số thuế </w:t>
      </w:r>
      <w:proofErr w:type="gramStart"/>
      <w:r w:rsidRPr="00D57C9C">
        <w:rPr>
          <w:rFonts w:ascii="Times New Roman" w:eastAsia="Times New Roman" w:hAnsi="Times New Roman" w:cs="Times New Roman"/>
          <w:bCs/>
          <w:sz w:val="20"/>
          <w:szCs w:val="20"/>
          <w:lang w:eastAsia="en-GB"/>
        </w:rPr>
        <w:t>thu</w:t>
      </w:r>
      <w:proofErr w:type="gramEnd"/>
      <w:r w:rsidRPr="00D57C9C">
        <w:rPr>
          <w:rFonts w:ascii="Times New Roman" w:eastAsia="Times New Roman" w:hAnsi="Times New Roman" w:cs="Times New Roman"/>
          <w:bCs/>
          <w:sz w:val="20"/>
          <w:szCs w:val="20"/>
          <w:lang w:eastAsia="en-GB"/>
        </w:rPr>
        <w:t xml:space="preserve">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w:t>
      </w:r>
      <w:proofErr w:type="gramStart"/>
      <w:r w:rsidRPr="00D57C9C">
        <w:rPr>
          <w:rFonts w:ascii="Times New Roman" w:eastAsia="Times New Roman" w:hAnsi="Times New Roman" w:cs="Times New Roman"/>
          <w:bCs/>
          <w:sz w:val="20"/>
          <w:szCs w:val="20"/>
          <w:lang w:eastAsia="en-GB"/>
        </w:rPr>
        <w:t>,1</w:t>
      </w:r>
      <w:proofErr w:type="gramEnd"/>
      <w:r w:rsidRPr="00D57C9C">
        <w:rPr>
          <w:rFonts w:ascii="Times New Roman" w:eastAsia="Times New Roman" w:hAnsi="Times New Roman" w:cs="Times New Roman"/>
          <w:bCs/>
          <w:sz w:val="20"/>
          <w:szCs w:val="20"/>
          <w:lang w:eastAsia="en-GB"/>
        </w:rPr>
        <w:t xml:space="preserve">%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proofErr w:type="gramStart"/>
      <w:r w:rsidRPr="00D57C9C">
        <w:rPr>
          <w:rFonts w:ascii="Times New Roman" w:hAnsi="Times New Roman" w:cs="Times New Roman"/>
          <w:sz w:val="20"/>
          <w:szCs w:val="20"/>
        </w:rPr>
        <w:t>Quỹ hoạt động như một bộ phận.</w:t>
      </w:r>
      <w:proofErr w:type="gramEnd"/>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Các doanh nghiệp, các cá nhân, trực tiếp hay gián tiếp qua một hoặc nhiều trung gian, có quyền kiểm soát Quỹ hoặc chịu sự kiểm soát của Quỹ, hoặc cùng </w:t>
      </w:r>
      <w:proofErr w:type="gramStart"/>
      <w:r w:rsidRPr="00D57C9C">
        <w:rPr>
          <w:rFonts w:ascii="Times New Roman" w:eastAsia="Times New Roman" w:hAnsi="Times New Roman" w:cs="Times New Roman"/>
          <w:bCs/>
          <w:sz w:val="20"/>
          <w:szCs w:val="20"/>
          <w:lang w:eastAsia="en-GB"/>
        </w:rPr>
        <w:t>chung</w:t>
      </w:r>
      <w:proofErr w:type="gramEnd"/>
      <w:r w:rsidRPr="00D57C9C">
        <w:rPr>
          <w:rFonts w:ascii="Times New Roman" w:eastAsia="Times New Roman" w:hAnsi="Times New Roman" w:cs="Times New Roman"/>
          <w:bCs/>
          <w:sz w:val="20"/>
          <w:szCs w:val="20"/>
          <w:lang w:eastAsia="en-GB"/>
        </w:rPr>
        <w:t xml:space="preserve">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lastRenderedPageBreak/>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83529F" w:rsidRPr="00D57C9C" w:rsidRDefault="0083529F" w:rsidP="00DB3A93">
      <w:pPr>
        <w:spacing w:before="120" w:after="120" w:line="240" w:lineRule="auto"/>
        <w:jc w:val="both"/>
        <w:rPr>
          <w:rFonts w:ascii="Times New Roman" w:eastAsia="Times New Roman" w:hAnsi="Times New Roman" w:cs="Times New Roman"/>
          <w:bCs/>
          <w:sz w:val="20"/>
          <w:szCs w:val="20"/>
          <w:lang w:eastAsia="en-GB"/>
        </w:rPr>
      </w:pP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324" w:type="dxa"/>
        <w:tblLook w:val="04A0"/>
      </w:tblPr>
      <w:tblGrid>
        <w:gridCol w:w="4766"/>
        <w:gridCol w:w="2542"/>
        <w:gridCol w:w="360"/>
        <w:gridCol w:w="1656"/>
      </w:tblGrid>
      <w:tr w:rsidR="00296DEA" w:rsidRPr="00D57C9C" w:rsidTr="00296DEA">
        <w:trPr>
          <w:trHeight w:val="300"/>
        </w:trPr>
        <w:tc>
          <w:tcPr>
            <w:tcW w:w="4766" w:type="dxa"/>
            <w:hideMark/>
          </w:tcPr>
          <w:p w:rsidR="00296DEA" w:rsidRPr="00D57C9C" w:rsidRDefault="00296DEA" w:rsidP="00DB3A93">
            <w:pPr>
              <w:spacing w:after="0" w:line="360" w:lineRule="auto"/>
              <w:jc w:val="both"/>
              <w:rPr>
                <w:rFonts w:ascii="Times New Roman" w:eastAsia="Times New Roman" w:hAnsi="Times New Roman" w:cs="Times New Roman"/>
                <w:b/>
                <w:bCs/>
                <w:sz w:val="20"/>
                <w:szCs w:val="20"/>
                <w:lang w:val="vi-VN" w:eastAsia="en-GB"/>
              </w:rPr>
            </w:pPr>
          </w:p>
        </w:tc>
        <w:tc>
          <w:tcPr>
            <w:tcW w:w="2542" w:type="dxa"/>
            <w:noWrap/>
            <w:hideMark/>
          </w:tcPr>
          <w:p w:rsidR="00296DEA" w:rsidRPr="00D456AD" w:rsidRDefault="00296DEA" w:rsidP="00531916">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96DEA" w:rsidRPr="00D456AD" w:rsidRDefault="00296DEA" w:rsidP="00531916">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sidRPr="00D456AD">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sidRPr="00D456AD">
              <w:rPr>
                <w:rFonts w:ascii="Times New Roman" w:eastAsia="Times New Roman" w:hAnsi="Times New Roman" w:cs="Times New Roman"/>
                <w:b/>
                <w:bCs/>
                <w:sz w:val="20"/>
                <w:szCs w:val="20"/>
                <w:lang w:eastAsia="en-GB"/>
              </w:rPr>
              <w:t>06</w:t>
            </w:r>
            <w:r w:rsidRPr="00D456AD">
              <w:rPr>
                <w:rFonts w:ascii="Times New Roman" w:eastAsia="Times New Roman" w:hAnsi="Times New Roman" w:cs="Times New Roman"/>
                <w:b/>
                <w:bCs/>
                <w:sz w:val="20"/>
                <w:szCs w:val="20"/>
                <w:lang w:val="vi-VN" w:eastAsia="en-GB"/>
              </w:rPr>
              <w:t>/201</w:t>
            </w:r>
            <w:r w:rsidRPr="00D456AD">
              <w:rPr>
                <w:rFonts w:ascii="Times New Roman" w:eastAsia="Times New Roman" w:hAnsi="Times New Roman" w:cs="Times New Roman"/>
                <w:b/>
                <w:bCs/>
                <w:sz w:val="20"/>
                <w:szCs w:val="20"/>
                <w:lang w:eastAsia="en-GB"/>
              </w:rPr>
              <w:t>8</w:t>
            </w:r>
          </w:p>
        </w:tc>
        <w:tc>
          <w:tcPr>
            <w:tcW w:w="360" w:type="dxa"/>
            <w:noWrap/>
            <w:vAlign w:val="center"/>
            <w:hideMark/>
          </w:tcPr>
          <w:p w:rsidR="00296DEA" w:rsidRPr="00D456AD"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vAlign w:val="center"/>
          </w:tcPr>
          <w:p w:rsidR="00296DEA" w:rsidRPr="00D456AD" w:rsidRDefault="00296DEA" w:rsidP="00296DEA">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96DEA" w:rsidRPr="00D456AD" w:rsidRDefault="00296DEA" w:rsidP="00296DEA">
            <w:pPr>
              <w:spacing w:after="0" w:line="360" w:lineRule="auto"/>
              <w:jc w:val="right"/>
              <w:rPr>
                <w:rFonts w:ascii="Times New Roman" w:eastAsia="Times New Roman" w:hAnsi="Times New Roman" w:cs="Times New Roman"/>
                <w:b/>
                <w:bCs/>
                <w:sz w:val="20"/>
                <w:szCs w:val="20"/>
                <w:lang w:val="vi-VN" w:eastAsia="en-GB"/>
              </w:rPr>
            </w:pPr>
            <w:r w:rsidRPr="00D456AD">
              <w:rPr>
                <w:rFonts w:ascii="Times New Roman" w:eastAsia="Times New Roman" w:hAnsi="Times New Roman" w:cs="Times New Roman"/>
                <w:b/>
                <w:bCs/>
                <w:sz w:val="20"/>
                <w:szCs w:val="20"/>
                <w:lang w:val="vi-VN" w:eastAsia="en-GB"/>
              </w:rPr>
              <w:t>3</w:t>
            </w:r>
            <w:r w:rsidRPr="00D456AD">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sidRPr="00D456AD">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/201</w:t>
            </w:r>
            <w:r w:rsidRPr="00D456AD">
              <w:rPr>
                <w:rFonts w:ascii="Times New Roman" w:eastAsia="Times New Roman" w:hAnsi="Times New Roman" w:cs="Times New Roman"/>
                <w:b/>
                <w:bCs/>
                <w:sz w:val="20"/>
                <w:szCs w:val="20"/>
                <w:lang w:eastAsia="en-GB"/>
              </w:rPr>
              <w:t>8</w:t>
            </w:r>
          </w:p>
        </w:tc>
      </w:tr>
      <w:tr w:rsidR="00296DEA" w:rsidRPr="00D57C9C" w:rsidTr="00296DEA">
        <w:trPr>
          <w:trHeight w:val="300"/>
        </w:trPr>
        <w:tc>
          <w:tcPr>
            <w:tcW w:w="4766" w:type="dxa"/>
            <w:hideMark/>
          </w:tcPr>
          <w:p w:rsidR="00296DEA" w:rsidRPr="00D57C9C" w:rsidRDefault="00296DEA" w:rsidP="00DB3A93">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bottom w:val="single" w:sz="4" w:space="0" w:color="auto"/>
            </w:tcBorders>
            <w:vAlign w:val="center"/>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360" w:type="dxa"/>
            <w:tcBorders>
              <w:bottom w:val="single" w:sz="4" w:space="0" w:color="auto"/>
            </w:tcBorders>
            <w:noWrap/>
            <w:vAlign w:val="center"/>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tcBorders>
              <w:bottom w:val="single" w:sz="4" w:space="0" w:color="auto"/>
            </w:tcBorders>
            <w:vAlign w:val="center"/>
          </w:tcPr>
          <w:p w:rsidR="00296DEA" w:rsidRPr="00D57C9C" w:rsidRDefault="00296DEA" w:rsidP="0083529F">
            <w:pPr>
              <w:spacing w:after="0" w:line="360" w:lineRule="auto"/>
              <w:jc w:val="right"/>
              <w:rPr>
                <w:rFonts w:ascii="Times New Roman" w:eastAsia="Times New Roman" w:hAnsi="Times New Roman" w:cs="Times New Roman"/>
                <w:color w:val="000000"/>
                <w:sz w:val="20"/>
                <w:szCs w:val="20"/>
                <w:lang w:val="vi-VN" w:eastAsia="en-GB"/>
              </w:rPr>
            </w:pPr>
            <w:r w:rsidRPr="00D57C9C">
              <w:rPr>
                <w:rFonts w:ascii="Times New Roman" w:eastAsia="Times New Roman" w:hAnsi="Times New Roman" w:cs="Times New Roman"/>
                <w:color w:val="000000"/>
                <w:sz w:val="20"/>
                <w:szCs w:val="20"/>
                <w:lang w:val="vi-VN" w:eastAsia="en-GB"/>
              </w:rPr>
              <w:t>VNĐ</w:t>
            </w:r>
          </w:p>
        </w:tc>
      </w:tr>
      <w:tr w:rsidR="00296DEA" w:rsidRPr="00D57C9C" w:rsidTr="00296DEA">
        <w:trPr>
          <w:trHeight w:val="599"/>
        </w:trPr>
        <w:tc>
          <w:tcPr>
            <w:tcW w:w="4766" w:type="dxa"/>
            <w:vAlign w:val="bottom"/>
            <w:hideMark/>
          </w:tcPr>
          <w:p w:rsidR="00296DEA" w:rsidRDefault="00296DEA" w:rsidP="00DB3A93">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p>
          <w:p w:rsidR="00296DEA" w:rsidRPr="00D57C9C" w:rsidRDefault="00296DEA"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Ngân hàng Standard Chartered Việt Nam</w:t>
            </w:r>
          </w:p>
        </w:tc>
        <w:tc>
          <w:tcPr>
            <w:tcW w:w="2542" w:type="dxa"/>
            <w:tcBorders>
              <w:top w:val="single" w:sz="4" w:space="0" w:color="auto"/>
            </w:tcBorders>
            <w:vAlign w:val="bottom"/>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27</w:t>
            </w:r>
            <w:r w:rsidRPr="00D57C9C">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520</w:t>
            </w:r>
            <w:r w:rsidRPr="00D57C9C">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128</w:t>
            </w:r>
            <w:r w:rsidRPr="00D57C9C">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017</w:t>
            </w:r>
          </w:p>
        </w:tc>
        <w:tc>
          <w:tcPr>
            <w:tcW w:w="360" w:type="dxa"/>
            <w:tcBorders>
              <w:top w:val="single" w:sz="4" w:space="0" w:color="auto"/>
            </w:tcBorders>
            <w:noWrap/>
            <w:vAlign w:val="bottom"/>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tcBorders>
              <w:top w:val="single" w:sz="4" w:space="0" w:color="auto"/>
            </w:tcBorders>
            <w:vAlign w:val="bottom"/>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bCs/>
                <w:sz w:val="20"/>
                <w:szCs w:val="20"/>
                <w:lang w:val="vi-VN" w:eastAsia="en-GB"/>
              </w:rPr>
              <w:t>116.511.871.800</w:t>
            </w:r>
          </w:p>
        </w:tc>
      </w:tr>
      <w:tr w:rsidR="00296DEA" w:rsidRPr="00D57C9C" w:rsidTr="00296DEA">
        <w:trPr>
          <w:trHeight w:val="291"/>
        </w:trPr>
        <w:tc>
          <w:tcPr>
            <w:tcW w:w="4766" w:type="dxa"/>
            <w:vAlign w:val="bottom"/>
            <w:hideMark/>
          </w:tcPr>
          <w:p w:rsidR="00296DEA" w:rsidRPr="00D57C9C" w:rsidRDefault="00296DEA"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2542" w:type="dxa"/>
            <w:vAlign w:val="bottom"/>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color w:val="000000"/>
                <w:sz w:val="20"/>
                <w:szCs w:val="20"/>
                <w:lang w:eastAsia="en-GB"/>
              </w:rPr>
              <w:t>1.033.625.744</w:t>
            </w:r>
          </w:p>
        </w:tc>
        <w:tc>
          <w:tcPr>
            <w:tcW w:w="360" w:type="dxa"/>
            <w:noWrap/>
            <w:vAlign w:val="bottom"/>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vAlign w:val="bottom"/>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color w:val="000000"/>
                <w:sz w:val="20"/>
                <w:szCs w:val="20"/>
                <w:lang w:eastAsia="en-GB"/>
              </w:rPr>
              <w:t>35.000.000</w:t>
            </w:r>
          </w:p>
        </w:tc>
      </w:tr>
      <w:tr w:rsidR="00296DEA" w:rsidRPr="00D57C9C" w:rsidTr="00296DEA">
        <w:trPr>
          <w:trHeight w:val="411"/>
        </w:trPr>
        <w:tc>
          <w:tcPr>
            <w:tcW w:w="4766" w:type="dxa"/>
            <w:vAlign w:val="bottom"/>
            <w:hideMark/>
          </w:tcPr>
          <w:p w:rsidR="00296DEA" w:rsidRPr="00D57C9C" w:rsidRDefault="00296DEA"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2542" w:type="dxa"/>
            <w:vAlign w:val="bottom"/>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color w:val="000000"/>
                <w:sz w:val="20"/>
                <w:szCs w:val="20"/>
                <w:lang w:eastAsia="en-GB"/>
              </w:rPr>
              <w:t>3.933.660.847</w:t>
            </w:r>
          </w:p>
        </w:tc>
        <w:tc>
          <w:tcPr>
            <w:tcW w:w="360" w:type="dxa"/>
            <w:noWrap/>
            <w:vAlign w:val="bottom"/>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vAlign w:val="bottom"/>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color w:val="000000"/>
                <w:sz w:val="20"/>
                <w:szCs w:val="20"/>
                <w:lang w:eastAsia="en-GB"/>
              </w:rPr>
              <w:t>3.832.975.400</w:t>
            </w:r>
          </w:p>
        </w:tc>
      </w:tr>
      <w:tr w:rsidR="00296DEA" w:rsidRPr="00D57C9C" w:rsidTr="00296DEA">
        <w:trPr>
          <w:trHeight w:val="300"/>
        </w:trPr>
        <w:tc>
          <w:tcPr>
            <w:tcW w:w="4766" w:type="dxa"/>
            <w:vAlign w:val="bottom"/>
            <w:hideMark/>
          </w:tcPr>
          <w:p w:rsidR="00296DEA" w:rsidRDefault="00296DEA" w:rsidP="00DB3A93">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 xml:space="preserve">Tiền gửi ký quỹ cho hoạt động đầu tư chứng </w:t>
            </w:r>
          </w:p>
          <w:p w:rsidR="00296DEA" w:rsidRPr="00D57C9C" w:rsidRDefault="00296DEA" w:rsidP="00DB3A93">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khoán  phái sinh</w:t>
            </w:r>
          </w:p>
          <w:p w:rsidR="00296DEA" w:rsidRPr="00D57C9C" w:rsidRDefault="00296DEA"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2542" w:type="dxa"/>
            <w:tcBorders>
              <w:bottom w:val="single" w:sz="4" w:space="0" w:color="auto"/>
            </w:tcBorders>
            <w:vAlign w:val="bottom"/>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10.028.050.050</w:t>
            </w:r>
          </w:p>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eastAsia="en-GB"/>
              </w:rPr>
              <w:t>80.000.000.000</w:t>
            </w:r>
          </w:p>
        </w:tc>
        <w:tc>
          <w:tcPr>
            <w:tcW w:w="360" w:type="dxa"/>
            <w:tcBorders>
              <w:bottom w:val="single" w:sz="4" w:space="0" w:color="auto"/>
            </w:tcBorders>
            <w:noWrap/>
            <w:vAlign w:val="bottom"/>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tcBorders>
              <w:bottom w:val="single" w:sz="4" w:space="0" w:color="auto"/>
            </w:tcBorders>
            <w:vAlign w:val="bottom"/>
          </w:tcPr>
          <w:p w:rsidR="00296DEA" w:rsidRPr="00D57C9C" w:rsidRDefault="00296DEA" w:rsidP="0083529F">
            <w:pPr>
              <w:spacing w:after="0" w:line="360" w:lineRule="auto"/>
              <w:jc w:val="right"/>
              <w:rPr>
                <w:rFonts w:ascii="Times New Roman" w:eastAsia="Times New Roman" w:hAnsi="Times New Roman" w:cs="Times New Roman"/>
                <w:bCs/>
                <w:sz w:val="20"/>
                <w:szCs w:val="20"/>
                <w:lang w:eastAsia="en-GB"/>
              </w:rPr>
            </w:pPr>
            <w:r w:rsidRPr="00E24F1E">
              <w:rPr>
                <w:rFonts w:ascii="Times New Roman" w:eastAsia="Times New Roman" w:hAnsi="Times New Roman" w:cs="Times New Roman"/>
                <w:bCs/>
                <w:sz w:val="20"/>
                <w:szCs w:val="20"/>
                <w:lang w:eastAsia="en-GB"/>
              </w:rPr>
              <w:t>3.970.497.300</w:t>
            </w:r>
          </w:p>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bCs/>
                <w:sz w:val="20"/>
                <w:szCs w:val="20"/>
                <w:lang w:eastAsia="en-GB"/>
              </w:rPr>
              <w:t>20.000.000.000</w:t>
            </w:r>
          </w:p>
        </w:tc>
      </w:tr>
      <w:tr w:rsidR="00296DEA" w:rsidRPr="00D57C9C" w:rsidTr="00296DEA">
        <w:trPr>
          <w:trHeight w:val="300"/>
        </w:trPr>
        <w:tc>
          <w:tcPr>
            <w:tcW w:w="4766" w:type="dxa"/>
            <w:hideMark/>
          </w:tcPr>
          <w:p w:rsidR="00296DEA" w:rsidRPr="00D57C9C" w:rsidRDefault="00296DEA" w:rsidP="00DB3A93">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top w:val="single" w:sz="4" w:space="0" w:color="auto"/>
            </w:tcBorders>
            <w:vAlign w:val="bottom"/>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
                <w:bCs/>
                <w:color w:val="000000"/>
                <w:sz w:val="20"/>
                <w:szCs w:val="20"/>
                <w:lang w:eastAsia="en-GB"/>
              </w:rPr>
              <w:t>122.515.464.658</w:t>
            </w:r>
          </w:p>
        </w:tc>
        <w:tc>
          <w:tcPr>
            <w:tcW w:w="360" w:type="dxa"/>
            <w:tcBorders>
              <w:top w:val="single" w:sz="4" w:space="0" w:color="auto"/>
            </w:tcBorders>
            <w:noWrap/>
            <w:vAlign w:val="bottom"/>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tcBorders>
              <w:top w:val="single" w:sz="4" w:space="0" w:color="auto"/>
            </w:tcBorders>
            <w:vAlign w:val="bottom"/>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b/>
                <w:bCs/>
                <w:color w:val="000000"/>
                <w:sz w:val="20"/>
                <w:szCs w:val="20"/>
                <w:lang w:eastAsia="en-GB"/>
              </w:rPr>
              <w:t>144.350.344.500</w:t>
            </w:r>
          </w:p>
        </w:tc>
      </w:tr>
    </w:tbl>
    <w:p w:rsidR="003E3718" w:rsidRPr="00D57C9C" w:rsidRDefault="00390C8E"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Các khoản đầu tư </w:t>
      </w:r>
    </w:p>
    <w:p w:rsidR="003E3718" w:rsidRPr="00D57C9C" w:rsidRDefault="00390C8E" w:rsidP="009761A9">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06" w:type="dxa"/>
        <w:tblInd w:w="-532" w:type="dxa"/>
        <w:tblLayout w:type="fixed"/>
        <w:tblLook w:val="04A0"/>
      </w:tblPr>
      <w:tblGrid>
        <w:gridCol w:w="1776"/>
        <w:gridCol w:w="1716"/>
        <w:gridCol w:w="1716"/>
        <w:gridCol w:w="1701"/>
        <w:gridCol w:w="1481"/>
        <w:gridCol w:w="1716"/>
      </w:tblGrid>
      <w:tr w:rsidR="004726A2" w:rsidRPr="00D57C9C" w:rsidTr="00AE104A">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18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716"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AE104A">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48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AE104A">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48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AE104A">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48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7B6867" w:rsidRPr="00D57C9C" w:rsidTr="00AE104A">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p w:rsidR="007B6867" w:rsidRPr="00D57C9C" w:rsidRDefault="007B6867"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p>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907.905.528.728 </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1.025.991.883.600 </w:t>
            </w:r>
          </w:p>
        </w:tc>
        <w:tc>
          <w:tcPr>
            <w:tcW w:w="1701"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152.146.981.124 </w:t>
            </w:r>
          </w:p>
        </w:tc>
        <w:tc>
          <w:tcPr>
            <w:tcW w:w="1481"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34.060.626.252 </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1.025.991.883.600</w:t>
            </w:r>
          </w:p>
        </w:tc>
      </w:tr>
      <w:tr w:rsidR="007B6867" w:rsidRPr="00D57C9C" w:rsidTr="00AE104A">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Niêm yết</w:t>
            </w:r>
          </w:p>
        </w:tc>
        <w:tc>
          <w:tcPr>
            <w:tcW w:w="1716" w:type="dxa"/>
            <w:noWrap/>
            <w:vAlign w:val="bottom"/>
            <w:hideMark/>
          </w:tcPr>
          <w:p w:rsidR="007B6867" w:rsidRPr="00D57C9C" w:rsidRDefault="007B6867" w:rsidP="00C60BDA">
            <w:pPr>
              <w:jc w:val="right"/>
              <w:rPr>
                <w:rFonts w:ascii="Times New Roman" w:hAnsi="Times New Roman" w:cs="Times New Roman"/>
                <w:i/>
                <w:iCs/>
                <w:sz w:val="20"/>
                <w:szCs w:val="20"/>
              </w:rPr>
            </w:pPr>
            <w:r w:rsidRPr="00D57C9C">
              <w:rPr>
                <w:rFonts w:ascii="Times New Roman" w:hAnsi="Times New Roman" w:cs="Times New Roman"/>
                <w:i/>
                <w:iCs/>
                <w:sz w:val="20"/>
                <w:szCs w:val="20"/>
              </w:rPr>
              <w:t xml:space="preserve">          907.905.528.728 </w:t>
            </w:r>
          </w:p>
        </w:tc>
        <w:tc>
          <w:tcPr>
            <w:tcW w:w="1716" w:type="dxa"/>
            <w:noWrap/>
            <w:vAlign w:val="bottom"/>
            <w:hideMark/>
          </w:tcPr>
          <w:p w:rsidR="007B6867" w:rsidRPr="00D57C9C" w:rsidRDefault="007B6867" w:rsidP="00C60BDA">
            <w:pPr>
              <w:jc w:val="right"/>
              <w:rPr>
                <w:rFonts w:ascii="Times New Roman" w:hAnsi="Times New Roman" w:cs="Times New Roman"/>
                <w:i/>
                <w:iCs/>
                <w:sz w:val="20"/>
                <w:szCs w:val="20"/>
              </w:rPr>
            </w:pPr>
            <w:r w:rsidRPr="00D57C9C">
              <w:rPr>
                <w:rFonts w:ascii="Times New Roman" w:hAnsi="Times New Roman" w:cs="Times New Roman"/>
                <w:i/>
                <w:iCs/>
                <w:sz w:val="20"/>
                <w:szCs w:val="20"/>
              </w:rPr>
              <w:t xml:space="preserve">             1.025.991.883.600 </w:t>
            </w:r>
          </w:p>
        </w:tc>
        <w:tc>
          <w:tcPr>
            <w:tcW w:w="1701" w:type="dxa"/>
            <w:noWrap/>
            <w:vAlign w:val="bottom"/>
            <w:hideMark/>
          </w:tcPr>
          <w:p w:rsidR="007B6867" w:rsidRPr="00D57C9C" w:rsidRDefault="007B6867" w:rsidP="00C60BDA">
            <w:pPr>
              <w:jc w:val="right"/>
              <w:rPr>
                <w:rFonts w:ascii="Times New Roman" w:hAnsi="Times New Roman" w:cs="Times New Roman"/>
                <w:i/>
                <w:iCs/>
                <w:sz w:val="20"/>
                <w:szCs w:val="20"/>
              </w:rPr>
            </w:pPr>
            <w:r w:rsidRPr="00D57C9C">
              <w:rPr>
                <w:rFonts w:ascii="Times New Roman" w:hAnsi="Times New Roman" w:cs="Times New Roman"/>
                <w:i/>
                <w:iCs/>
                <w:sz w:val="20"/>
                <w:szCs w:val="20"/>
              </w:rPr>
              <w:t xml:space="preserve">                  152.146.981.124 </w:t>
            </w:r>
          </w:p>
        </w:tc>
        <w:tc>
          <w:tcPr>
            <w:tcW w:w="1481" w:type="dxa"/>
            <w:noWrap/>
            <w:vAlign w:val="bottom"/>
            <w:hideMark/>
          </w:tcPr>
          <w:p w:rsidR="007B6867" w:rsidRPr="00D57C9C" w:rsidRDefault="007B6867" w:rsidP="00C60BDA">
            <w:pPr>
              <w:jc w:val="right"/>
              <w:rPr>
                <w:rFonts w:ascii="Times New Roman" w:hAnsi="Times New Roman" w:cs="Times New Roman"/>
                <w:i/>
                <w:iCs/>
                <w:sz w:val="20"/>
                <w:szCs w:val="20"/>
              </w:rPr>
            </w:pPr>
            <w:r w:rsidRPr="00D57C9C">
              <w:rPr>
                <w:rFonts w:ascii="Times New Roman" w:hAnsi="Times New Roman" w:cs="Times New Roman"/>
                <w:i/>
                <w:iCs/>
                <w:sz w:val="20"/>
                <w:szCs w:val="20"/>
              </w:rPr>
              <w:t xml:space="preserve">           34.060.626.252 </w:t>
            </w:r>
          </w:p>
        </w:tc>
        <w:tc>
          <w:tcPr>
            <w:tcW w:w="1716" w:type="dxa"/>
            <w:noWrap/>
            <w:vAlign w:val="bottom"/>
            <w:hideMark/>
          </w:tcPr>
          <w:p w:rsidR="007B6867" w:rsidRPr="00D57C9C" w:rsidRDefault="007B6867" w:rsidP="00C60BDA">
            <w:pPr>
              <w:jc w:val="right"/>
              <w:rPr>
                <w:rFonts w:ascii="Times New Roman" w:hAnsi="Times New Roman" w:cs="Times New Roman"/>
                <w:i/>
                <w:iCs/>
                <w:sz w:val="20"/>
                <w:szCs w:val="20"/>
              </w:rPr>
            </w:pPr>
            <w:r w:rsidRPr="00D57C9C">
              <w:rPr>
                <w:rFonts w:ascii="Times New Roman" w:hAnsi="Times New Roman" w:cs="Times New Roman"/>
                <w:i/>
                <w:iCs/>
                <w:sz w:val="20"/>
                <w:szCs w:val="20"/>
              </w:rPr>
              <w:t xml:space="preserve">     1.025.991.883.600 </w:t>
            </w:r>
          </w:p>
        </w:tc>
      </w:tr>
      <w:tr w:rsidR="007B6867" w:rsidRPr="00D57C9C" w:rsidTr="00AE104A">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 xml:space="preserve">Trái phiếu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30.147.300.000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30.243.300.000 </w:t>
            </w:r>
          </w:p>
        </w:tc>
        <w:tc>
          <w:tcPr>
            <w:tcW w:w="170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96.000.000 </w:t>
            </w:r>
          </w:p>
        </w:tc>
        <w:tc>
          <w:tcPr>
            <w:tcW w:w="148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30.243.300.000 </w:t>
            </w:r>
          </w:p>
        </w:tc>
      </w:tr>
      <w:tr w:rsidR="007B6867" w:rsidRPr="00D57C9C" w:rsidTr="00AE104A">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Chứng chỉ tiền gửi ghi danh</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130.000.000.000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130.000.000.000 </w:t>
            </w:r>
          </w:p>
        </w:tc>
        <w:tc>
          <w:tcPr>
            <w:tcW w:w="170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48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130.000.000.000 </w:t>
            </w:r>
          </w:p>
        </w:tc>
      </w:tr>
      <w:tr w:rsidR="007B6867" w:rsidRPr="00D57C9C" w:rsidTr="00AE104A">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0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48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r>
      <w:tr w:rsidR="00AE104A" w:rsidRPr="00D57C9C" w:rsidTr="00AE104A">
        <w:trPr>
          <w:trHeight w:val="212"/>
        </w:trPr>
        <w:tc>
          <w:tcPr>
            <w:tcW w:w="1776" w:type="dxa"/>
            <w:noWrap/>
            <w:hideMark/>
          </w:tcPr>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hideMark/>
          </w:tcPr>
          <w:p w:rsidR="00AE104A" w:rsidRPr="00D57C9C" w:rsidRDefault="00AE104A" w:rsidP="00C60BDA">
            <w:pPr>
              <w:rPr>
                <w:rFonts w:ascii="Times New Roman" w:hAnsi="Times New Roman" w:cs="Times New Roman"/>
                <w:b/>
                <w:bCs/>
                <w:sz w:val="20"/>
                <w:szCs w:val="20"/>
              </w:rPr>
            </w:pPr>
            <w:r w:rsidRPr="00D57C9C">
              <w:rPr>
                <w:rFonts w:ascii="Times New Roman" w:hAnsi="Times New Roman" w:cs="Times New Roman"/>
                <w:b/>
                <w:bCs/>
                <w:sz w:val="20"/>
                <w:szCs w:val="20"/>
              </w:rPr>
              <w:t xml:space="preserve">             1</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068</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052</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828</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 xml:space="preserve">728 </w:t>
            </w:r>
          </w:p>
        </w:tc>
        <w:tc>
          <w:tcPr>
            <w:tcW w:w="1716" w:type="dxa"/>
            <w:tcBorders>
              <w:top w:val="single" w:sz="4" w:space="0" w:color="auto"/>
            </w:tcBorders>
            <w:noWrap/>
            <w:vAlign w:val="bottom"/>
            <w:hideMark/>
          </w:tcPr>
          <w:p w:rsidR="00AE104A" w:rsidRPr="00D57C9C" w:rsidRDefault="00AE104A" w:rsidP="00C60BDA">
            <w:pPr>
              <w:rPr>
                <w:rFonts w:ascii="Times New Roman" w:hAnsi="Times New Roman" w:cs="Times New Roman"/>
                <w:b/>
                <w:bCs/>
                <w:sz w:val="20"/>
                <w:szCs w:val="20"/>
              </w:rPr>
            </w:pPr>
            <w:r w:rsidRPr="00D57C9C">
              <w:rPr>
                <w:rFonts w:ascii="Times New Roman" w:hAnsi="Times New Roman" w:cs="Times New Roman"/>
                <w:b/>
                <w:bCs/>
                <w:sz w:val="20"/>
                <w:szCs w:val="20"/>
              </w:rPr>
              <w:t xml:space="preserve">              1</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186</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235</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183</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 xml:space="preserve">600 </w:t>
            </w:r>
          </w:p>
        </w:tc>
        <w:tc>
          <w:tcPr>
            <w:tcW w:w="1701" w:type="dxa"/>
            <w:tcBorders>
              <w:top w:val="single" w:sz="4" w:space="0" w:color="auto"/>
            </w:tcBorders>
            <w:noWrap/>
            <w:vAlign w:val="bottom"/>
            <w:hideMark/>
          </w:tcPr>
          <w:p w:rsidR="00AE104A" w:rsidRPr="00D57C9C" w:rsidRDefault="00AE104A" w:rsidP="00C60BDA">
            <w:pPr>
              <w:rPr>
                <w:rFonts w:ascii="Times New Roman" w:hAnsi="Times New Roman" w:cs="Times New Roman"/>
                <w:b/>
                <w:bCs/>
                <w:sz w:val="20"/>
                <w:szCs w:val="20"/>
              </w:rPr>
            </w:pPr>
            <w:r w:rsidRPr="00D57C9C">
              <w:rPr>
                <w:rFonts w:ascii="Times New Roman" w:hAnsi="Times New Roman" w:cs="Times New Roman"/>
                <w:b/>
                <w:bCs/>
                <w:sz w:val="20"/>
                <w:szCs w:val="20"/>
              </w:rPr>
              <w:t xml:space="preserve">                  152</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242</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981</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 xml:space="preserve">124 </w:t>
            </w:r>
          </w:p>
        </w:tc>
        <w:tc>
          <w:tcPr>
            <w:tcW w:w="1481" w:type="dxa"/>
            <w:tcBorders>
              <w:top w:val="single" w:sz="4" w:space="0" w:color="auto"/>
            </w:tcBorders>
            <w:noWrap/>
            <w:vAlign w:val="bottom"/>
            <w:hideMark/>
          </w:tcPr>
          <w:p w:rsidR="00AE104A" w:rsidRPr="00D57C9C" w:rsidRDefault="00AE104A" w:rsidP="00C60BDA">
            <w:pPr>
              <w:rPr>
                <w:rFonts w:ascii="Times New Roman" w:hAnsi="Times New Roman" w:cs="Times New Roman"/>
                <w:b/>
                <w:bCs/>
                <w:sz w:val="20"/>
                <w:szCs w:val="20"/>
              </w:rPr>
            </w:pPr>
            <w:r w:rsidRPr="00D57C9C">
              <w:rPr>
                <w:rFonts w:ascii="Times New Roman" w:hAnsi="Times New Roman" w:cs="Times New Roman"/>
                <w:b/>
                <w:bCs/>
                <w:sz w:val="20"/>
                <w:szCs w:val="20"/>
              </w:rPr>
              <w:t xml:space="preserve">            34</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060</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626</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 xml:space="preserve">252 </w:t>
            </w:r>
          </w:p>
        </w:tc>
        <w:tc>
          <w:tcPr>
            <w:tcW w:w="1716" w:type="dxa"/>
            <w:tcBorders>
              <w:top w:val="single" w:sz="4" w:space="0" w:color="auto"/>
            </w:tcBorders>
            <w:noWrap/>
            <w:vAlign w:val="bottom"/>
            <w:hideMark/>
          </w:tcPr>
          <w:p w:rsidR="00AE104A" w:rsidRPr="00D57C9C" w:rsidRDefault="00AE104A" w:rsidP="00C60BDA">
            <w:pPr>
              <w:rPr>
                <w:rFonts w:ascii="Times New Roman" w:hAnsi="Times New Roman" w:cs="Times New Roman"/>
                <w:b/>
                <w:bCs/>
                <w:sz w:val="20"/>
                <w:szCs w:val="20"/>
              </w:rPr>
            </w:pPr>
            <w:r w:rsidRPr="00D57C9C">
              <w:rPr>
                <w:rFonts w:ascii="Times New Roman" w:hAnsi="Times New Roman" w:cs="Times New Roman"/>
                <w:b/>
                <w:bCs/>
                <w:sz w:val="20"/>
                <w:szCs w:val="20"/>
              </w:rPr>
              <w:t xml:space="preserve">                1</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186</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235</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183</w:t>
            </w:r>
            <w:r w:rsidR="009641FF">
              <w:rPr>
                <w:rFonts w:ascii="Times New Roman" w:hAnsi="Times New Roman" w:cs="Times New Roman"/>
                <w:b/>
                <w:bCs/>
                <w:sz w:val="20"/>
                <w:szCs w:val="20"/>
              </w:rPr>
              <w:t>.</w:t>
            </w:r>
            <w:r w:rsidRPr="00D57C9C">
              <w:rPr>
                <w:rFonts w:ascii="Times New Roman" w:hAnsi="Times New Roman" w:cs="Times New Roman"/>
                <w:b/>
                <w:bCs/>
                <w:sz w:val="20"/>
                <w:szCs w:val="20"/>
              </w:rPr>
              <w:t xml:space="preserve">600 </w:t>
            </w:r>
          </w:p>
        </w:tc>
      </w:tr>
    </w:tbl>
    <w:p w:rsidR="00D706A4" w:rsidRDefault="00D706A4"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P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E3718" w:rsidRPr="00D57C9C" w:rsidRDefault="00D42CA7"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 xml:space="preserve">Các khoản </w:t>
      </w:r>
      <w:r w:rsidR="00C13B5F" w:rsidRPr="00D57C9C">
        <w:rPr>
          <w:rFonts w:ascii="Times New Roman" w:hAnsi="Times New Roman" w:cs="Times New Roman"/>
          <w:b/>
          <w:sz w:val="20"/>
          <w:szCs w:val="20"/>
          <w:lang w:val="vi-VN"/>
        </w:rPr>
        <w:t>phải thu</w:t>
      </w:r>
    </w:p>
    <w:tbl>
      <w:tblPr>
        <w:tblW w:w="9414" w:type="dxa"/>
        <w:tblInd w:w="108" w:type="dxa"/>
        <w:tblLook w:val="04A0"/>
      </w:tblPr>
      <w:tblGrid>
        <w:gridCol w:w="5188"/>
        <w:gridCol w:w="1872"/>
        <w:gridCol w:w="383"/>
        <w:gridCol w:w="1971"/>
      </w:tblGrid>
      <w:tr w:rsidR="00D456AD" w:rsidRPr="00D57C9C" w:rsidTr="001558F2">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hideMark/>
          </w:tcPr>
          <w:p w:rsidR="00D456AD" w:rsidRDefault="00D456AD" w:rsidP="0053191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D456AD" w:rsidRPr="00D57C9C" w:rsidRDefault="00D456AD" w:rsidP="00531916">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Pr="00D57C9C">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383" w:type="dxa"/>
            <w:tcBorders>
              <w:top w:val="nil"/>
              <w:left w:val="nil"/>
              <w:bottom w:val="nil"/>
              <w:right w:val="nil"/>
            </w:tcBorders>
            <w:shd w:val="clear" w:color="auto" w:fill="auto"/>
            <w:noWrap/>
            <w:vAlign w:val="center"/>
            <w:hideMark/>
          </w:tcPr>
          <w:p w:rsidR="00D456AD" w:rsidRPr="00D57C9C" w:rsidRDefault="00D456AD" w:rsidP="00531916">
            <w:pPr>
              <w:spacing w:after="0" w:line="36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D456AD" w:rsidRDefault="00D456AD" w:rsidP="0053191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D456AD" w:rsidRPr="00D57C9C" w:rsidRDefault="00D456AD" w:rsidP="00531916">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single" w:sz="4" w:space="0" w:color="auto"/>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383" w:type="dxa"/>
            <w:tcBorders>
              <w:top w:val="nil"/>
              <w:left w:val="nil"/>
              <w:bottom w:val="single" w:sz="4" w:space="0" w:color="auto"/>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bottom"/>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b/>
                <w:bCs/>
                <w:sz w:val="20"/>
                <w:szCs w:val="20"/>
                <w:lang w:val="vi-VN" w:eastAsia="en-GB"/>
              </w:rPr>
            </w:pPr>
          </w:p>
        </w:tc>
        <w:tc>
          <w:tcPr>
            <w:tcW w:w="1872" w:type="dxa"/>
            <w:tcBorders>
              <w:top w:val="nil"/>
              <w:left w:val="nil"/>
              <w:bottom w:val="nil"/>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383" w:type="dxa"/>
            <w:tcBorders>
              <w:top w:val="single" w:sz="4" w:space="0" w:color="auto"/>
              <w:left w:val="nil"/>
              <w:bottom w:val="nil"/>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bottom"/>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1872" w:type="dxa"/>
            <w:tcBorders>
              <w:top w:val="nil"/>
              <w:left w:val="nil"/>
              <w:bottom w:val="nil"/>
              <w:right w:val="nil"/>
            </w:tcBorders>
            <w:shd w:val="clear" w:color="auto" w:fill="auto"/>
            <w:noWrap/>
            <w:vAlign w:val="center"/>
            <w:hideMark/>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p>
        </w:tc>
        <w:tc>
          <w:tcPr>
            <w:tcW w:w="383" w:type="dxa"/>
            <w:tcBorders>
              <w:top w:val="nil"/>
              <w:left w:val="nil"/>
              <w:bottom w:val="nil"/>
              <w:right w:val="nil"/>
            </w:tcBorders>
            <w:shd w:val="clear" w:color="auto" w:fill="auto"/>
            <w:noWrap/>
            <w:vAlign w:val="center"/>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p>
        </w:tc>
      </w:tr>
      <w:tr w:rsidR="00D456AD" w:rsidRPr="00D57C9C" w:rsidTr="00FE0BED">
        <w:trPr>
          <w:trHeight w:val="435"/>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 xml:space="preserve">1. Các khoản phải thu bán các khoản đầu tư </w:t>
            </w:r>
          </w:p>
        </w:tc>
        <w:tc>
          <w:tcPr>
            <w:tcW w:w="1872" w:type="dxa"/>
            <w:tcBorders>
              <w:top w:val="nil"/>
              <w:left w:val="nil"/>
              <w:bottom w:val="nil"/>
              <w:right w:val="nil"/>
            </w:tcBorders>
            <w:shd w:val="clear" w:color="auto" w:fill="auto"/>
            <w:noWrap/>
            <w:vAlign w:val="center"/>
            <w:hideMark/>
          </w:tcPr>
          <w:p w:rsidR="00D456AD" w:rsidRPr="00D57C9C" w:rsidRDefault="00D456AD" w:rsidP="00640260">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sz w:val="20"/>
                <w:szCs w:val="20"/>
                <w:lang w:eastAsia="en-GB"/>
              </w:rPr>
              <w:t>39.643.981.500</w:t>
            </w:r>
          </w:p>
        </w:tc>
        <w:tc>
          <w:tcPr>
            <w:tcW w:w="383" w:type="dxa"/>
            <w:tcBorders>
              <w:top w:val="nil"/>
              <w:left w:val="nil"/>
              <w:bottom w:val="nil"/>
              <w:right w:val="nil"/>
            </w:tcBorders>
            <w:shd w:val="clear" w:color="auto" w:fill="auto"/>
            <w:vAlign w:val="center"/>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sz w:val="20"/>
                <w:szCs w:val="20"/>
                <w:lang w:eastAsia="en-GB"/>
              </w:rPr>
              <w:t>-</w:t>
            </w:r>
          </w:p>
        </w:tc>
      </w:tr>
      <w:tr w:rsidR="00D456AD" w:rsidRPr="00D57C9C" w:rsidTr="00FE0BED">
        <w:trPr>
          <w:trHeight w:val="533"/>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 tiền lãi các khoản</w:t>
            </w:r>
          </w:p>
          <w:p w:rsidR="00D456AD" w:rsidRPr="00D57C9C" w:rsidRDefault="00D456AD" w:rsidP="00DB3A93">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eastAsia="en-GB"/>
              </w:rPr>
              <w:t xml:space="preserve">   đầu tư</w:t>
            </w:r>
            <w:r w:rsidRPr="00D57C9C">
              <w:rPr>
                <w:rFonts w:ascii="Times New Roman" w:eastAsia="Times New Roman" w:hAnsi="Times New Roman" w:cs="Times New Roman"/>
                <w:i/>
                <w:iCs/>
                <w:sz w:val="20"/>
                <w:szCs w:val="20"/>
                <w:lang w:val="vi-VN" w:eastAsia="en-GB"/>
              </w:rPr>
              <w:t xml:space="preserve"> </w:t>
            </w:r>
          </w:p>
        </w:tc>
        <w:tc>
          <w:tcPr>
            <w:tcW w:w="1872" w:type="dxa"/>
            <w:tcBorders>
              <w:top w:val="nil"/>
              <w:left w:val="nil"/>
              <w:bottom w:val="nil"/>
              <w:right w:val="nil"/>
            </w:tcBorders>
            <w:shd w:val="clear" w:color="auto" w:fill="auto"/>
            <w:noWrap/>
            <w:vAlign w:val="center"/>
            <w:hideMark/>
          </w:tcPr>
          <w:p w:rsidR="00D456AD" w:rsidRPr="00D57C9C" w:rsidRDefault="00D456AD" w:rsidP="00C60BDA">
            <w:pPr>
              <w:spacing w:after="0" w:line="240" w:lineRule="auto"/>
              <w:jc w:val="right"/>
              <w:rPr>
                <w:rFonts w:ascii="Times New Roman" w:eastAsia="Times New Roman" w:hAnsi="Times New Roman" w:cs="Times New Roman"/>
                <w:bCs/>
                <w:sz w:val="20"/>
                <w:szCs w:val="20"/>
                <w:highlight w:val="yellow"/>
                <w:lang w:val="vi-VN" w:eastAsia="en-GB"/>
              </w:rPr>
            </w:pPr>
            <w:r w:rsidRPr="00D57C9C">
              <w:rPr>
                <w:rFonts w:ascii="Times New Roman" w:eastAsia="Times New Roman" w:hAnsi="Times New Roman" w:cs="Times New Roman"/>
                <w:sz w:val="20"/>
                <w:szCs w:val="20"/>
                <w:lang w:eastAsia="en-GB"/>
              </w:rPr>
              <w:t>7.673.288.370</w:t>
            </w:r>
          </w:p>
        </w:tc>
        <w:tc>
          <w:tcPr>
            <w:tcW w:w="383" w:type="dxa"/>
            <w:tcBorders>
              <w:top w:val="nil"/>
              <w:left w:val="nil"/>
              <w:bottom w:val="nil"/>
              <w:right w:val="nil"/>
            </w:tcBorders>
            <w:shd w:val="clear" w:color="auto" w:fill="auto"/>
            <w:vAlign w:val="center"/>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r w:rsidRPr="00E93226">
              <w:rPr>
                <w:rFonts w:ascii="Times New Roman" w:eastAsia="Times New Roman" w:hAnsi="Times New Roman" w:cs="Times New Roman"/>
                <w:sz w:val="20"/>
                <w:szCs w:val="20"/>
                <w:lang w:eastAsia="en-GB"/>
              </w:rPr>
              <w:t>4.633.108.319</w:t>
            </w:r>
          </w:p>
        </w:tc>
      </w:tr>
      <w:tr w:rsidR="00D456AD" w:rsidRPr="00D57C9C" w:rsidTr="00FE0BED">
        <w:trPr>
          <w:trHeight w:val="435"/>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1872" w:type="dxa"/>
            <w:tcBorders>
              <w:top w:val="nil"/>
              <w:left w:val="nil"/>
              <w:bottom w:val="single" w:sz="4" w:space="0" w:color="auto"/>
              <w:right w:val="nil"/>
            </w:tcBorders>
            <w:shd w:val="clear" w:color="auto" w:fill="auto"/>
            <w:noWrap/>
            <w:vAlign w:val="center"/>
            <w:hideMark/>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(866.400.000)</w:t>
            </w:r>
          </w:p>
        </w:tc>
        <w:tc>
          <w:tcPr>
            <w:tcW w:w="383" w:type="dxa"/>
            <w:tcBorders>
              <w:top w:val="nil"/>
              <w:left w:val="nil"/>
              <w:bottom w:val="single" w:sz="8" w:space="0" w:color="auto"/>
              <w:right w:val="nil"/>
            </w:tcBorders>
            <w:shd w:val="clear" w:color="auto" w:fill="auto"/>
            <w:vAlign w:val="center"/>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center"/>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vAlign w:val="center"/>
            <w:hideMark/>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eastAsia="en-GB"/>
              </w:rPr>
              <w:t>46.450.869.870</w:t>
            </w:r>
          </w:p>
        </w:tc>
        <w:tc>
          <w:tcPr>
            <w:tcW w:w="383" w:type="dxa"/>
            <w:tcBorders>
              <w:top w:val="nil"/>
              <w:left w:val="nil"/>
              <w:bottom w:val="nil"/>
              <w:right w:val="nil"/>
            </w:tcBorders>
            <w:shd w:val="clear" w:color="auto" w:fill="auto"/>
            <w:noWrap/>
            <w:vAlign w:val="center"/>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E93226">
              <w:rPr>
                <w:rFonts w:ascii="Times New Roman" w:eastAsia="Times New Roman" w:hAnsi="Times New Roman" w:cs="Times New Roman"/>
                <w:b/>
                <w:bCs/>
                <w:sz w:val="20"/>
                <w:szCs w:val="20"/>
                <w:lang w:eastAsia="en-GB"/>
              </w:rPr>
              <w:t>3.766.708.319</w:t>
            </w:r>
          </w:p>
        </w:tc>
      </w:tr>
    </w:tbl>
    <w:p w:rsidR="000E741F" w:rsidRPr="000E741F" w:rsidRDefault="000E741F" w:rsidP="009761A9">
      <w:pPr>
        <w:spacing w:beforeLines="60" w:afterLines="60" w:line="240" w:lineRule="auto"/>
        <w:jc w:val="both"/>
        <w:outlineLvl w:val="0"/>
        <w:rPr>
          <w:rFonts w:ascii="Times New Roman" w:hAnsi="Times New Roman" w:cs="Times New Roman"/>
          <w:b/>
          <w:sz w:val="20"/>
          <w:szCs w:val="20"/>
        </w:rPr>
      </w:pPr>
    </w:p>
    <w:p w:rsidR="003E3718" w:rsidRPr="00D57C9C" w:rsidRDefault="002C238A"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7B6867" w:rsidRPr="00D57C9C">
        <w:rPr>
          <w:rFonts w:ascii="Times New Roman" w:hAnsi="Times New Roman" w:cs="Times New Roman"/>
          <w:b/>
          <w:sz w:val="20"/>
          <w:szCs w:val="20"/>
          <w:lang w:val="vi-VN"/>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367" w:type="dxa"/>
        <w:tblInd w:w="108" w:type="dxa"/>
        <w:tblLook w:val="04A0"/>
      </w:tblPr>
      <w:tblGrid>
        <w:gridCol w:w="4646"/>
        <w:gridCol w:w="2450"/>
        <w:gridCol w:w="243"/>
        <w:gridCol w:w="2028"/>
      </w:tblGrid>
      <w:tr w:rsidR="00F71C2C" w:rsidRPr="00D57C9C" w:rsidTr="0051051E">
        <w:trPr>
          <w:trHeight w:val="267"/>
        </w:trPr>
        <w:tc>
          <w:tcPr>
            <w:tcW w:w="4646" w:type="dxa"/>
            <w:tcBorders>
              <w:top w:val="nil"/>
              <w:left w:val="nil"/>
              <w:bottom w:val="nil"/>
              <w:right w:val="nil"/>
            </w:tcBorders>
            <w:shd w:val="clear" w:color="auto" w:fill="auto"/>
            <w:noWrap/>
            <w:vAlign w:val="bottom"/>
            <w:hideMark/>
          </w:tcPr>
          <w:p w:rsidR="00F71C2C" w:rsidRPr="00D57C9C" w:rsidRDefault="00F71C2C" w:rsidP="00DB3A93">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shd w:val="clear" w:color="auto" w:fill="auto"/>
            <w:noWrap/>
            <w:hideMark/>
          </w:tcPr>
          <w:p w:rsidR="00F71C2C" w:rsidRDefault="00F71C2C" w:rsidP="0053191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71C2C" w:rsidRPr="00D57C9C" w:rsidRDefault="00F71C2C" w:rsidP="00531916">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Pr="00D57C9C">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243" w:type="dxa"/>
            <w:tcBorders>
              <w:top w:val="nil"/>
              <w:left w:val="nil"/>
              <w:bottom w:val="nil"/>
              <w:right w:val="nil"/>
            </w:tcBorders>
            <w:shd w:val="clear" w:color="auto" w:fill="auto"/>
            <w:noWrap/>
            <w:vAlign w:val="center"/>
            <w:hideMark/>
          </w:tcPr>
          <w:p w:rsidR="00F71C2C" w:rsidRPr="00D57C9C" w:rsidRDefault="00F71C2C" w:rsidP="00531916">
            <w:pPr>
              <w:spacing w:after="0" w:line="36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center"/>
          </w:tcPr>
          <w:p w:rsidR="00F71C2C" w:rsidRDefault="00F71C2C" w:rsidP="00531916">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71C2C" w:rsidRPr="00D57C9C" w:rsidRDefault="00F71C2C" w:rsidP="00531916">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r>
      <w:tr w:rsidR="007056FD" w:rsidRPr="00D57C9C" w:rsidTr="00FE0BED">
        <w:trPr>
          <w:trHeight w:val="267"/>
        </w:trPr>
        <w:tc>
          <w:tcPr>
            <w:tcW w:w="4646" w:type="dxa"/>
            <w:tcBorders>
              <w:top w:val="nil"/>
              <w:left w:val="nil"/>
              <w:bottom w:val="nil"/>
              <w:right w:val="nil"/>
            </w:tcBorders>
            <w:shd w:val="clear" w:color="auto" w:fill="auto"/>
            <w:noWrap/>
            <w:vAlign w:val="bottom"/>
            <w:hideMark/>
          </w:tcPr>
          <w:p w:rsidR="007056FD" w:rsidRPr="00D57C9C" w:rsidRDefault="007056FD" w:rsidP="00DB3A93">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243"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7056FD" w:rsidRPr="00D57C9C" w:rsidTr="00FE0BED">
        <w:trPr>
          <w:trHeight w:val="267"/>
        </w:trPr>
        <w:tc>
          <w:tcPr>
            <w:tcW w:w="4646" w:type="dxa"/>
            <w:tcBorders>
              <w:top w:val="nil"/>
              <w:left w:val="nil"/>
              <w:bottom w:val="nil"/>
              <w:right w:val="nil"/>
            </w:tcBorders>
            <w:shd w:val="clear" w:color="auto" w:fill="auto"/>
            <w:noWrap/>
            <w:vAlign w:val="bottom"/>
            <w:hideMark/>
          </w:tcPr>
          <w:p w:rsidR="007056FD" w:rsidRPr="00D57C9C" w:rsidRDefault="007056FD"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sz w:val="20"/>
                <w:szCs w:val="20"/>
                <w:lang w:eastAsia="en-GB"/>
              </w:rPr>
              <w:t>32.205.886</w:t>
            </w:r>
          </w:p>
        </w:tc>
        <w:tc>
          <w:tcPr>
            <w:tcW w:w="243"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bottom"/>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19.935.848</w:t>
            </w:r>
          </w:p>
        </w:tc>
      </w:tr>
      <w:tr w:rsidR="007056FD" w:rsidRPr="00D57C9C" w:rsidTr="00FE0BED">
        <w:trPr>
          <w:trHeight w:val="267"/>
        </w:trPr>
        <w:tc>
          <w:tcPr>
            <w:tcW w:w="4646" w:type="dxa"/>
            <w:tcBorders>
              <w:top w:val="nil"/>
              <w:left w:val="nil"/>
              <w:bottom w:val="nil"/>
              <w:right w:val="nil"/>
            </w:tcBorders>
            <w:shd w:val="clear" w:color="auto" w:fill="auto"/>
            <w:noWrap/>
            <w:vAlign w:val="bottom"/>
            <w:hideMark/>
          </w:tcPr>
          <w:p w:rsidR="007056FD" w:rsidRPr="00D57C9C" w:rsidRDefault="007056FD"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sz w:val="20"/>
                <w:szCs w:val="20"/>
                <w:lang w:eastAsia="en-GB"/>
              </w:rPr>
              <w:t>29.823.175</w:t>
            </w:r>
          </w:p>
        </w:tc>
        <w:tc>
          <w:tcPr>
            <w:tcW w:w="243"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79.753.668</w:t>
            </w:r>
          </w:p>
        </w:tc>
      </w:tr>
      <w:tr w:rsidR="007056FD" w:rsidRPr="00D57C9C" w:rsidTr="00FE0BED">
        <w:trPr>
          <w:trHeight w:val="267"/>
        </w:trPr>
        <w:tc>
          <w:tcPr>
            <w:tcW w:w="4646" w:type="dxa"/>
            <w:tcBorders>
              <w:top w:val="nil"/>
              <w:left w:val="nil"/>
              <w:bottom w:val="nil"/>
              <w:right w:val="nil"/>
            </w:tcBorders>
            <w:shd w:val="clear" w:color="auto" w:fill="auto"/>
            <w:noWrap/>
            <w:vAlign w:val="bottom"/>
            <w:hideMark/>
          </w:tcPr>
          <w:p w:rsidR="007056FD" w:rsidRPr="00D57C9C" w:rsidRDefault="007056FD" w:rsidP="00DB3A93">
            <w:pPr>
              <w:spacing w:after="0" w:line="240" w:lineRule="auto"/>
              <w:jc w:val="both"/>
              <w:rPr>
                <w:rFonts w:ascii="Times New Roman" w:eastAsia="Times New Roman" w:hAnsi="Times New Roman" w:cs="Times New Roman"/>
                <w:sz w:val="20"/>
                <w:szCs w:val="20"/>
                <w:lang w:eastAsia="en-GB"/>
              </w:rPr>
            </w:pPr>
          </w:p>
          <w:p w:rsidR="007056FD" w:rsidRPr="00D57C9C" w:rsidRDefault="007056FD" w:rsidP="00DB3A93">
            <w:pPr>
              <w:spacing w:after="0" w:line="240" w:lineRule="auto"/>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eastAsia="en-GB"/>
              </w:rPr>
              <w:t>62.029.061</w:t>
            </w:r>
          </w:p>
        </w:tc>
        <w:tc>
          <w:tcPr>
            <w:tcW w:w="243"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b/>
                <w:bCs/>
                <w:sz w:val="20"/>
                <w:szCs w:val="20"/>
                <w:lang w:val="vi-VN" w:eastAsia="en-GB"/>
              </w:rPr>
            </w:pPr>
          </w:p>
        </w:tc>
        <w:tc>
          <w:tcPr>
            <w:tcW w:w="2028" w:type="dxa"/>
            <w:tcBorders>
              <w:top w:val="nil"/>
              <w:left w:val="nil"/>
              <w:bottom w:val="nil"/>
              <w:right w:val="nil"/>
            </w:tcBorders>
            <w:vAlign w:val="bottom"/>
          </w:tcPr>
          <w:p w:rsidR="007056FD" w:rsidRPr="00D57C9C" w:rsidRDefault="007056FD" w:rsidP="00401B4B">
            <w:pPr>
              <w:spacing w:after="0" w:line="240" w:lineRule="auto"/>
              <w:jc w:val="right"/>
              <w:rPr>
                <w:rFonts w:ascii="Times New Roman" w:eastAsia="Times New Roman" w:hAnsi="Times New Roman" w:cs="Times New Roman"/>
                <w:b/>
                <w:bCs/>
                <w:sz w:val="20"/>
                <w:szCs w:val="20"/>
                <w:lang w:val="vi-VN" w:eastAsia="en-GB"/>
              </w:rPr>
            </w:pPr>
            <w:r w:rsidRPr="007056FD">
              <w:rPr>
                <w:rFonts w:ascii="Times New Roman" w:eastAsia="Times New Roman" w:hAnsi="Times New Roman" w:cs="Times New Roman"/>
                <w:b/>
                <w:bCs/>
                <w:sz w:val="20"/>
                <w:szCs w:val="20"/>
                <w:lang w:eastAsia="en-GB"/>
              </w:rPr>
              <w:t>99.689.516</w:t>
            </w:r>
          </w:p>
        </w:tc>
      </w:tr>
    </w:tbl>
    <w:p w:rsidR="00742472" w:rsidRPr="00392C24" w:rsidRDefault="0074247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92C24" w:rsidRPr="00392C24" w:rsidRDefault="0016461A"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3E3718" w:rsidRPr="00D57C9C" w:rsidRDefault="00A83339" w:rsidP="009761A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Phí quản lý Quỹ</w:t>
      </w:r>
    </w:p>
    <w:p w:rsidR="002B2238" w:rsidRPr="00D57C9C" w:rsidRDefault="00A83339"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w:t>
      </w:r>
      <w:r w:rsidR="005D3847" w:rsidRPr="00D57C9C">
        <w:rPr>
          <w:rFonts w:ascii="Times New Roman" w:eastAsia="Times New Roman" w:hAnsi="Times New Roman" w:cs="Times New Roman"/>
          <w:bCs/>
          <w:sz w:val="20"/>
          <w:szCs w:val="20"/>
          <w:lang w:val="vi-VN" w:eastAsia="en-GB"/>
        </w:rPr>
        <w:t xml:space="preserve"> quản lý Quỹ được tính hàng ngày</w:t>
      </w:r>
      <w:r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phí quản lý Quỹ hàng năm là 1</w:t>
      </w:r>
      <w:r w:rsidR="00E032A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7B6867" w:rsidRPr="00D57C9C">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đa là 2% NAV/năm. Phí này được trả cho công ty quản lý quỹ VFM để thực hiện các dịch vụ quản lý cho Quỹ VFMVF1.</w:t>
      </w:r>
    </w:p>
    <w:p w:rsidR="003E3718" w:rsidRPr="00D57C9C" w:rsidRDefault="00AF5D12" w:rsidP="009761A9">
      <w:pPr>
        <w:pStyle w:val="ListParagraph"/>
        <w:numPr>
          <w:ilvl w:val="2"/>
          <w:numId w:val="42"/>
        </w:numPr>
        <w:spacing w:beforeLines="60" w:afterLines="60" w:line="240" w:lineRule="auto"/>
        <w:ind w:left="0" w:right="-64"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Phí lưu ký</w:t>
      </w:r>
      <w:r w:rsidR="009641FF">
        <w:rPr>
          <w:rFonts w:ascii="Times New Roman" w:hAnsi="Times New Roman" w:cs="Times New Roman"/>
          <w:b/>
          <w:sz w:val="20"/>
          <w:szCs w:val="20"/>
        </w:rPr>
        <w:t>.</w:t>
      </w:r>
      <w:r w:rsidR="00A83339" w:rsidRPr="00D57C9C">
        <w:rPr>
          <w:rFonts w:ascii="Times New Roman" w:hAnsi="Times New Roman" w:cs="Times New Roman"/>
          <w:b/>
          <w:sz w:val="20"/>
          <w:szCs w:val="20"/>
          <w:lang w:val="vi-VN"/>
        </w:rPr>
        <w:t xml:space="preserve"> phí giám sát Quỹ</w:t>
      </w:r>
      <w:r w:rsidR="009641FF">
        <w:rPr>
          <w:rFonts w:ascii="Times New Roman" w:hAnsi="Times New Roman" w:cs="Times New Roman"/>
          <w:b/>
          <w:sz w:val="20"/>
          <w:szCs w:val="20"/>
        </w:rPr>
        <w:t>.</w:t>
      </w:r>
      <w:r w:rsidR="00A83339" w:rsidRPr="00D57C9C">
        <w:rPr>
          <w:rFonts w:ascii="Times New Roman" w:hAnsi="Times New Roman" w:cs="Times New Roman"/>
          <w:b/>
          <w:sz w:val="20"/>
          <w:szCs w:val="20"/>
          <w:lang w:val="vi-VN"/>
        </w:rPr>
        <w:t xml:space="preserve"> phí quản trị Quỹ </w:t>
      </w:r>
    </w:p>
    <w:p w:rsidR="00203BEA" w:rsidRPr="00D57C9C" w:rsidRDefault="00203BEA"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giám sát</w:t>
      </w:r>
      <w:r w:rsidR="00E032A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E032A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D57C9C" w:rsidRDefault="00203BEA"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 giám sát là 0</w:t>
      </w:r>
      <w:r w:rsidR="00E032A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04% NAV/năm. </w:t>
      </w:r>
      <w:r w:rsidR="00E12BA8" w:rsidRPr="00D57C9C">
        <w:rPr>
          <w:rFonts w:ascii="Times New Roman" w:eastAsia="Times New Roman" w:hAnsi="Times New Roman" w:cs="Times New Roman"/>
          <w:bCs/>
          <w:sz w:val="20"/>
          <w:szCs w:val="20"/>
          <w:lang w:eastAsia="en-GB"/>
        </w:rPr>
        <w:t>Mức phí t</w:t>
      </w:r>
      <w:r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C73B5A"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 lưu ký không quá 0</w:t>
      </w:r>
      <w:r w:rsidR="00E032A0" w:rsidRPr="00D57C9C">
        <w:rPr>
          <w:rFonts w:ascii="Times New Roman" w:eastAsia="Times New Roman" w:hAnsi="Times New Roman" w:cs="Times New Roman"/>
          <w:bCs/>
          <w:sz w:val="20"/>
          <w:szCs w:val="20"/>
          <w:lang w:val="vi-VN"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sidR="00E12BA8" w:rsidRPr="00D57C9C">
        <w:rPr>
          <w:rFonts w:ascii="Times New Roman" w:eastAsia="Times New Roman" w:hAnsi="Times New Roman" w:cs="Times New Roman"/>
          <w:bCs/>
          <w:sz w:val="20"/>
          <w:szCs w:val="20"/>
          <w:lang w:eastAsia="en-GB"/>
        </w:rPr>
        <w:t>Mức p</w:t>
      </w:r>
      <w:r w:rsidR="00E26127" w:rsidRPr="00D57C9C">
        <w:rPr>
          <w:rFonts w:ascii="Times New Roman" w:eastAsia="Times New Roman" w:hAnsi="Times New Roman" w:cs="Times New Roman"/>
          <w:bCs/>
          <w:sz w:val="20"/>
          <w:szCs w:val="20"/>
          <w:lang w:val="vi-VN" w:eastAsia="en-GB"/>
        </w:rPr>
        <w:t>hí lưu ký 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Pr="00392C24" w:rsidRDefault="000D22E3"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Tỷ lệ phí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E032A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D57C9C" w:rsidTr="00345857">
        <w:trPr>
          <w:jc w:val="center"/>
        </w:trPr>
        <w:tc>
          <w:tcPr>
            <w:tcW w:w="3117" w:type="dxa"/>
            <w:vMerge w:val="restart"/>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vMerge w:val="restart"/>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345857">
        <w:trPr>
          <w:jc w:val="center"/>
        </w:trPr>
        <w:tc>
          <w:tcPr>
            <w:tcW w:w="3117" w:type="dxa"/>
            <w:vMerge/>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064" w:type="dxa"/>
            <w:vMerge/>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179" w:type="dxa"/>
          </w:tcPr>
          <w:p w:rsidR="00345857" w:rsidRPr="00D57C9C" w:rsidRDefault="00345857" w:rsidP="00DB3A93">
            <w:pPr>
              <w:spacing w:before="120" w:after="120" w:line="240" w:lineRule="auto"/>
              <w:jc w:val="both"/>
              <w:rPr>
                <w:rFonts w:ascii="Times New Roman" w:eastAsia="Times New Roman" w:hAnsi="Times New Roman" w:cs="Times New Roman"/>
                <w:bCs/>
                <w:sz w:val="20"/>
                <w:szCs w:val="20"/>
                <w:lang w:val="vi-VN" w:eastAsia="en-GB"/>
              </w:rPr>
            </w:pP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0.06%/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0.05%/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0.04%/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594E3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 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E032A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9C5EC2" w:rsidRDefault="00953C00"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Phí giao dịch chứng khoán</w:t>
      </w:r>
      <w:r w:rsidRPr="00D57C9C">
        <w:rPr>
          <w:rFonts w:ascii="Times New Roman" w:eastAsia="Times New Roman" w:hAnsi="Times New Roman" w:cs="Times New Roman"/>
          <w:bCs/>
          <w:sz w:val="20"/>
          <w:szCs w:val="20"/>
          <w:lang w:val="vi-VN" w:eastAsia="en-GB"/>
        </w:rPr>
        <w:t xml:space="preserve"> là 100.000</w:t>
      </w:r>
      <w:r w:rsidRPr="00D57C9C">
        <w:rPr>
          <w:rFonts w:ascii="Times New Roman" w:eastAsia="Times New Roman" w:hAnsi="Times New Roman" w:cs="Times New Roman"/>
          <w:bCs/>
          <w:sz w:val="20"/>
          <w:szCs w:val="20"/>
          <w:lang w:eastAsia="en-GB"/>
        </w:rPr>
        <w:t xml:space="preserve"> trên một giao dị</w:t>
      </w:r>
      <w:r w:rsidR="009C5EC2">
        <w:rPr>
          <w:rFonts w:ascii="Times New Roman" w:eastAsia="Times New Roman" w:hAnsi="Times New Roman" w:cs="Times New Roman"/>
          <w:bCs/>
          <w:sz w:val="20"/>
          <w:szCs w:val="20"/>
          <w:lang w:eastAsia="en-GB"/>
        </w:rPr>
        <w:t>ch</w:t>
      </w:r>
    </w:p>
    <w:p w:rsidR="00C326E1" w:rsidRDefault="00C326E1" w:rsidP="00DB3A93">
      <w:pPr>
        <w:spacing w:before="120" w:after="120" w:line="240" w:lineRule="auto"/>
        <w:jc w:val="both"/>
        <w:rPr>
          <w:rFonts w:ascii="Times New Roman" w:eastAsia="Times New Roman" w:hAnsi="Times New Roman" w:cs="Times New Roman"/>
          <w:bCs/>
          <w:sz w:val="20"/>
          <w:szCs w:val="20"/>
          <w:lang w:eastAsia="en-GB"/>
        </w:rPr>
      </w:pPr>
    </w:p>
    <w:p w:rsidR="003E3718" w:rsidRPr="00D57C9C" w:rsidRDefault="0002168E"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9597" w:type="dxa"/>
        <w:tblLook w:val="04A0"/>
      </w:tblPr>
      <w:tblGrid>
        <w:gridCol w:w="3528"/>
        <w:gridCol w:w="1944"/>
        <w:gridCol w:w="1996"/>
        <w:gridCol w:w="2129"/>
      </w:tblGrid>
      <w:tr w:rsidR="0090650E" w:rsidRPr="00D57C9C" w:rsidTr="003C2984">
        <w:trPr>
          <w:trHeight w:val="243"/>
        </w:trPr>
        <w:tc>
          <w:tcPr>
            <w:tcW w:w="3528" w:type="dxa"/>
            <w:hideMark/>
          </w:tcPr>
          <w:p w:rsidR="0090650E" w:rsidRPr="00D57C9C" w:rsidRDefault="0090650E" w:rsidP="00DB3A93">
            <w:pPr>
              <w:spacing w:after="0" w:line="240" w:lineRule="auto"/>
              <w:jc w:val="both"/>
              <w:rPr>
                <w:rFonts w:ascii="Times New Roman" w:eastAsia="Times New Roman" w:hAnsi="Times New Roman" w:cs="Times New Roman"/>
                <w:b/>
                <w:bCs/>
                <w:sz w:val="20"/>
                <w:szCs w:val="20"/>
                <w:lang w:val="vi-VN" w:eastAsia="en-GB"/>
              </w:rPr>
            </w:pPr>
          </w:p>
        </w:tc>
        <w:tc>
          <w:tcPr>
            <w:tcW w:w="1944" w:type="dxa"/>
          </w:tcPr>
          <w:p w:rsidR="0090650E" w:rsidRPr="00D57C9C" w:rsidRDefault="00E86EBE" w:rsidP="00E3787F">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Pr="00D57C9C">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1996"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29"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DA37DF"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A41AEB" w:rsidRPr="00D57C9C">
              <w:rPr>
                <w:rFonts w:ascii="Times New Roman" w:eastAsia="Times New Roman" w:hAnsi="Times New Roman" w:cs="Times New Roman"/>
                <w:b/>
                <w:bCs/>
                <w:sz w:val="20"/>
                <w:szCs w:val="20"/>
                <w:lang w:eastAsia="en-GB"/>
              </w:rPr>
              <w:t>0</w:t>
            </w:r>
            <w:r w:rsidR="00A12E2D" w:rsidRPr="00D57C9C">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/201</w:t>
            </w:r>
            <w:r w:rsidR="00A41AEB" w:rsidRPr="00D57C9C">
              <w:rPr>
                <w:rFonts w:ascii="Times New Roman" w:eastAsia="Times New Roman" w:hAnsi="Times New Roman" w:cs="Times New Roman"/>
                <w:b/>
                <w:bCs/>
                <w:sz w:val="20"/>
                <w:szCs w:val="20"/>
                <w:lang w:eastAsia="en-GB"/>
              </w:rPr>
              <w:t>8</w:t>
            </w:r>
          </w:p>
        </w:tc>
      </w:tr>
      <w:tr w:rsidR="0090650E" w:rsidRPr="00D57C9C" w:rsidTr="003C2984">
        <w:trPr>
          <w:trHeight w:val="226"/>
        </w:trPr>
        <w:tc>
          <w:tcPr>
            <w:tcW w:w="3528" w:type="dxa"/>
            <w:vMerge w:val="restart"/>
            <w:hideMark/>
          </w:tcPr>
          <w:p w:rsidR="0090650E" w:rsidRPr="00D57C9C" w:rsidRDefault="0090650E" w:rsidP="00DB3A93">
            <w:pPr>
              <w:spacing w:after="0" w:line="240" w:lineRule="auto"/>
              <w:jc w:val="both"/>
              <w:rPr>
                <w:rFonts w:ascii="Times New Roman" w:eastAsia="Times New Roman" w:hAnsi="Times New Roman" w:cs="Times New Roman"/>
                <w:b/>
                <w:bCs/>
                <w:sz w:val="20"/>
                <w:szCs w:val="20"/>
                <w:lang w:val="vi-VN" w:eastAsia="en-GB"/>
              </w:rPr>
            </w:pPr>
          </w:p>
        </w:tc>
        <w:tc>
          <w:tcPr>
            <w:tcW w:w="1944" w:type="dxa"/>
            <w:tcBorders>
              <w:bottom w:val="single" w:sz="4" w:space="0" w:color="auto"/>
            </w:tcBorders>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6" w:type="dxa"/>
            <w:tcBorders>
              <w:bottom w:val="single" w:sz="4" w:space="0" w:color="auto"/>
            </w:tcBorders>
            <w:hideMark/>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29" w:type="dxa"/>
            <w:tcBorders>
              <w:bottom w:val="single" w:sz="4" w:space="0" w:color="auto"/>
            </w:tcBorders>
            <w:hideMark/>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0650E" w:rsidRPr="00D57C9C" w:rsidTr="003C2984">
        <w:trPr>
          <w:gridAfter w:val="3"/>
          <w:wAfter w:w="6069" w:type="dxa"/>
          <w:trHeight w:val="231"/>
        </w:trPr>
        <w:tc>
          <w:tcPr>
            <w:tcW w:w="3528" w:type="dxa"/>
            <w:vMerge/>
            <w:hideMark/>
          </w:tcPr>
          <w:p w:rsidR="0090650E" w:rsidRPr="00D57C9C" w:rsidRDefault="0090650E" w:rsidP="00DB3A93">
            <w:pPr>
              <w:spacing w:after="0" w:line="240" w:lineRule="auto"/>
              <w:jc w:val="both"/>
              <w:rPr>
                <w:rFonts w:ascii="Times New Roman" w:eastAsia="Times New Roman" w:hAnsi="Times New Roman" w:cs="Times New Roman"/>
                <w:b/>
                <w:bCs/>
                <w:i/>
                <w:sz w:val="20"/>
                <w:szCs w:val="20"/>
                <w:lang w:val="vi-VN" w:eastAsia="en-GB"/>
              </w:rPr>
            </w:pPr>
          </w:p>
        </w:tc>
      </w:tr>
      <w:tr w:rsidR="0090650E" w:rsidRPr="00D57C9C" w:rsidTr="003C2984">
        <w:trPr>
          <w:trHeight w:val="243"/>
        </w:trPr>
        <w:tc>
          <w:tcPr>
            <w:tcW w:w="3528" w:type="dxa"/>
            <w:hideMark/>
          </w:tcPr>
          <w:p w:rsidR="0090650E" w:rsidRDefault="0090650E" w:rsidP="00DB3A93">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5D1A4E" w:rsidRPr="005D1A4E" w:rsidRDefault="005D1A4E" w:rsidP="00DB3A93">
            <w:pPr>
              <w:spacing w:after="0" w:line="240" w:lineRule="auto"/>
              <w:jc w:val="both"/>
              <w:rPr>
                <w:rFonts w:ascii="Times New Roman" w:eastAsia="Times New Roman" w:hAnsi="Times New Roman" w:cs="Times New Roman"/>
                <w:b/>
                <w:bCs/>
                <w:sz w:val="20"/>
                <w:szCs w:val="20"/>
                <w:lang w:eastAsia="en-GB"/>
              </w:rPr>
            </w:pPr>
          </w:p>
        </w:tc>
        <w:tc>
          <w:tcPr>
            <w:tcW w:w="1944" w:type="dxa"/>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1996"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2129"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r>
      <w:tr w:rsidR="00832AA7" w:rsidRPr="00D57C9C" w:rsidTr="003C2984">
        <w:trPr>
          <w:trHeight w:val="243"/>
        </w:trPr>
        <w:tc>
          <w:tcPr>
            <w:tcW w:w="3528" w:type="dxa"/>
            <w:hideMark/>
          </w:tcPr>
          <w:p w:rsidR="00832AA7" w:rsidRPr="00D57C9C" w:rsidRDefault="00832AA7"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832AA7" w:rsidRPr="00D57C9C" w:rsidRDefault="00E86EBE" w:rsidP="00E3787F">
            <w:pPr>
              <w:jc w:val="right"/>
              <w:rPr>
                <w:rFonts w:ascii="Times New Roman" w:hAnsi="Times New Roman" w:cs="Times New Roman"/>
                <w:sz w:val="20"/>
                <w:szCs w:val="20"/>
                <w:lang w:val="vi-VN"/>
              </w:rPr>
            </w:pPr>
            <w:r w:rsidRPr="00D57C9C">
              <w:rPr>
                <w:rFonts w:ascii="Times New Roman" w:hAnsi="Times New Roman" w:cs="Times New Roman"/>
                <w:color w:val="000000"/>
                <w:sz w:val="20"/>
                <w:szCs w:val="20"/>
              </w:rPr>
              <w:t>153.264.619</w:t>
            </w:r>
            <w:r w:rsidR="000E32BC">
              <w:rPr>
                <w:rFonts w:ascii="Times New Roman" w:hAnsi="Times New Roman" w:cs="Times New Roman"/>
                <w:color w:val="000000"/>
                <w:sz w:val="20"/>
                <w:szCs w:val="20"/>
              </w:rPr>
              <w:t>,</w:t>
            </w:r>
            <w:r w:rsidRPr="00D57C9C">
              <w:rPr>
                <w:rFonts w:ascii="Times New Roman" w:hAnsi="Times New Roman" w:cs="Times New Roman"/>
                <w:color w:val="000000"/>
                <w:sz w:val="20"/>
                <w:szCs w:val="20"/>
              </w:rPr>
              <w:t>65</w:t>
            </w:r>
          </w:p>
        </w:tc>
        <w:tc>
          <w:tcPr>
            <w:tcW w:w="1996" w:type="dxa"/>
            <w:hideMark/>
          </w:tcPr>
          <w:p w:rsidR="00832AA7" w:rsidRPr="00D57C9C" w:rsidRDefault="00ED56B4"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3.310.863</w:t>
            </w:r>
            <w:r w:rsidR="000E32BC">
              <w:rPr>
                <w:rFonts w:ascii="Times New Roman" w:hAnsi="Times New Roman" w:cs="Times New Roman"/>
                <w:color w:val="000000"/>
                <w:sz w:val="20"/>
                <w:szCs w:val="20"/>
              </w:rPr>
              <w:t>,</w:t>
            </w:r>
            <w:r w:rsidRPr="00D57C9C">
              <w:rPr>
                <w:rFonts w:ascii="Times New Roman" w:hAnsi="Times New Roman" w:cs="Times New Roman"/>
                <w:color w:val="000000"/>
                <w:sz w:val="20"/>
                <w:szCs w:val="20"/>
              </w:rPr>
              <w:t>21</w:t>
            </w:r>
            <w:r w:rsidR="00832AA7" w:rsidRPr="00D57C9C">
              <w:rPr>
                <w:rFonts w:ascii="Times New Roman" w:hAnsi="Times New Roman" w:cs="Times New Roman"/>
                <w:color w:val="000000"/>
                <w:sz w:val="20"/>
                <w:szCs w:val="20"/>
              </w:rPr>
              <w:t xml:space="preserve">                 </w:t>
            </w:r>
          </w:p>
        </w:tc>
        <w:tc>
          <w:tcPr>
            <w:tcW w:w="2129" w:type="dxa"/>
            <w:hideMark/>
          </w:tcPr>
          <w:p w:rsidR="00832AA7" w:rsidRPr="00D57C9C" w:rsidRDefault="00832AA7"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 xml:space="preserve">            </w:t>
            </w:r>
            <w:r w:rsidR="00A12E2D" w:rsidRPr="00D57C9C">
              <w:rPr>
                <w:rFonts w:ascii="Times New Roman" w:hAnsi="Times New Roman" w:cs="Times New Roman"/>
                <w:color w:val="000000"/>
                <w:sz w:val="20"/>
                <w:szCs w:val="20"/>
              </w:rPr>
              <w:t>156.575.482</w:t>
            </w:r>
            <w:r w:rsidR="000E32BC">
              <w:rPr>
                <w:rFonts w:ascii="Times New Roman" w:hAnsi="Times New Roman" w:cs="Times New Roman"/>
                <w:color w:val="000000"/>
                <w:sz w:val="20"/>
                <w:szCs w:val="20"/>
              </w:rPr>
              <w:t>,</w:t>
            </w:r>
            <w:r w:rsidR="00A12E2D" w:rsidRPr="00D57C9C">
              <w:rPr>
                <w:rFonts w:ascii="Times New Roman" w:hAnsi="Times New Roman" w:cs="Times New Roman"/>
                <w:color w:val="000000"/>
                <w:sz w:val="20"/>
                <w:szCs w:val="20"/>
              </w:rPr>
              <w:t>86</w:t>
            </w:r>
            <w:r w:rsidRPr="00D57C9C">
              <w:rPr>
                <w:rFonts w:ascii="Times New Roman" w:hAnsi="Times New Roman" w:cs="Times New Roman"/>
                <w:color w:val="000000"/>
                <w:sz w:val="20"/>
                <w:szCs w:val="20"/>
              </w:rPr>
              <w:t xml:space="preserve"> </w:t>
            </w:r>
          </w:p>
        </w:tc>
      </w:tr>
      <w:tr w:rsidR="00832AA7" w:rsidRPr="00D57C9C" w:rsidTr="003C2984">
        <w:trPr>
          <w:trHeight w:val="243"/>
        </w:trPr>
        <w:tc>
          <w:tcPr>
            <w:tcW w:w="3528" w:type="dxa"/>
            <w:hideMark/>
          </w:tcPr>
          <w:p w:rsidR="00832AA7" w:rsidRPr="00D57C9C" w:rsidRDefault="00832AA7"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832AA7" w:rsidRPr="00D57C9C" w:rsidRDefault="00E86EBE" w:rsidP="00E3787F">
            <w:pPr>
              <w:jc w:val="right"/>
              <w:rPr>
                <w:rFonts w:ascii="Times New Roman" w:hAnsi="Times New Roman" w:cs="Times New Roman"/>
                <w:sz w:val="20"/>
                <w:szCs w:val="20"/>
                <w:highlight w:val="yellow"/>
                <w:lang w:val="vi-VN"/>
              </w:rPr>
            </w:pPr>
            <w:r w:rsidRPr="00D57C9C">
              <w:rPr>
                <w:rFonts w:ascii="Times New Roman" w:hAnsi="Times New Roman" w:cs="Times New Roman"/>
                <w:color w:val="000000"/>
                <w:sz w:val="20"/>
                <w:szCs w:val="20"/>
              </w:rPr>
              <w:t>1.532.646.196.500</w:t>
            </w:r>
          </w:p>
        </w:tc>
        <w:tc>
          <w:tcPr>
            <w:tcW w:w="1996" w:type="dxa"/>
            <w:hideMark/>
          </w:tcPr>
          <w:p w:rsidR="00832AA7" w:rsidRPr="00D57C9C" w:rsidRDefault="00A7046A"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33.108.632.100</w:t>
            </w:r>
            <w:r w:rsidR="00832AA7" w:rsidRPr="00D57C9C">
              <w:rPr>
                <w:rFonts w:ascii="Times New Roman" w:hAnsi="Times New Roman" w:cs="Times New Roman"/>
                <w:color w:val="000000"/>
                <w:sz w:val="20"/>
                <w:szCs w:val="20"/>
              </w:rPr>
              <w:t xml:space="preserve">             </w:t>
            </w:r>
          </w:p>
        </w:tc>
        <w:tc>
          <w:tcPr>
            <w:tcW w:w="2129" w:type="dxa"/>
            <w:hideMark/>
          </w:tcPr>
          <w:p w:rsidR="00832AA7" w:rsidRPr="00D57C9C" w:rsidRDefault="00A12E2D"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1.565.754.828.600</w:t>
            </w:r>
            <w:r w:rsidR="00832AA7" w:rsidRPr="00D57C9C">
              <w:rPr>
                <w:rFonts w:ascii="Times New Roman" w:hAnsi="Times New Roman" w:cs="Times New Roman"/>
                <w:color w:val="000000"/>
                <w:sz w:val="20"/>
                <w:szCs w:val="20"/>
              </w:rPr>
              <w:t xml:space="preserve">        </w:t>
            </w:r>
          </w:p>
        </w:tc>
      </w:tr>
      <w:tr w:rsidR="00832AA7" w:rsidRPr="00D57C9C" w:rsidTr="003C2984">
        <w:trPr>
          <w:trHeight w:val="243"/>
        </w:trPr>
        <w:tc>
          <w:tcPr>
            <w:tcW w:w="3528" w:type="dxa"/>
            <w:hideMark/>
          </w:tcPr>
          <w:p w:rsidR="00832AA7" w:rsidRPr="00D57C9C" w:rsidRDefault="00832AA7"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Thặng dư vốn</w:t>
            </w:r>
          </w:p>
        </w:tc>
        <w:tc>
          <w:tcPr>
            <w:tcW w:w="1944" w:type="dxa"/>
          </w:tcPr>
          <w:p w:rsidR="00832AA7" w:rsidRPr="00D57C9C" w:rsidRDefault="00600D4A" w:rsidP="00E3787F">
            <w:pPr>
              <w:jc w:val="right"/>
              <w:rPr>
                <w:rFonts w:ascii="Times New Roman" w:hAnsi="Times New Roman" w:cs="Times New Roman"/>
                <w:sz w:val="20"/>
                <w:szCs w:val="20"/>
                <w:highlight w:val="yellow"/>
                <w:lang w:val="vi-VN"/>
              </w:rPr>
            </w:pPr>
            <w:r w:rsidRPr="00D57C9C">
              <w:rPr>
                <w:rFonts w:ascii="Times New Roman" w:hAnsi="Times New Roman" w:cs="Times New Roman"/>
                <w:color w:val="000000"/>
                <w:sz w:val="20"/>
                <w:szCs w:val="20"/>
              </w:rPr>
              <w:t>2.560.510.764.342</w:t>
            </w:r>
          </w:p>
        </w:tc>
        <w:tc>
          <w:tcPr>
            <w:tcW w:w="1996" w:type="dxa"/>
            <w:hideMark/>
          </w:tcPr>
          <w:p w:rsidR="00832AA7" w:rsidRPr="00D57C9C" w:rsidRDefault="000C54DC"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101.741.551.854</w:t>
            </w:r>
            <w:r w:rsidR="00832AA7" w:rsidRPr="00D57C9C">
              <w:rPr>
                <w:rFonts w:ascii="Times New Roman" w:hAnsi="Times New Roman" w:cs="Times New Roman"/>
                <w:color w:val="000000"/>
                <w:sz w:val="20"/>
                <w:szCs w:val="20"/>
              </w:rPr>
              <w:t xml:space="preserve">           </w:t>
            </w:r>
          </w:p>
        </w:tc>
        <w:tc>
          <w:tcPr>
            <w:tcW w:w="2129" w:type="dxa"/>
            <w:hideMark/>
          </w:tcPr>
          <w:p w:rsidR="00832AA7" w:rsidRPr="00D57C9C" w:rsidRDefault="00832AA7"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 xml:space="preserve">       </w:t>
            </w:r>
            <w:r w:rsidR="00EB34D4" w:rsidRPr="00D57C9C">
              <w:rPr>
                <w:rFonts w:ascii="Times New Roman" w:hAnsi="Times New Roman" w:cs="Times New Roman"/>
                <w:color w:val="000000"/>
                <w:sz w:val="20"/>
                <w:szCs w:val="20"/>
              </w:rPr>
              <w:t>2.662.252.316.196</w:t>
            </w:r>
            <w:r w:rsidRPr="00D57C9C">
              <w:rPr>
                <w:rFonts w:ascii="Times New Roman" w:hAnsi="Times New Roman" w:cs="Times New Roman"/>
                <w:color w:val="000000"/>
                <w:sz w:val="20"/>
                <w:szCs w:val="20"/>
              </w:rPr>
              <w:t xml:space="preserve"> </w:t>
            </w:r>
          </w:p>
        </w:tc>
      </w:tr>
      <w:tr w:rsidR="00832AA7" w:rsidRPr="00D57C9C" w:rsidTr="003C2984">
        <w:trPr>
          <w:trHeight w:val="243"/>
        </w:trPr>
        <w:tc>
          <w:tcPr>
            <w:tcW w:w="3528" w:type="dxa"/>
            <w:hideMark/>
          </w:tcPr>
          <w:p w:rsidR="00832AA7" w:rsidRPr="00D57C9C" w:rsidRDefault="00832AA7" w:rsidP="00DB3A93">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944" w:type="dxa"/>
          </w:tcPr>
          <w:p w:rsidR="00832AA7" w:rsidRPr="00D57C9C" w:rsidRDefault="00600D4A" w:rsidP="00E3787F">
            <w:pPr>
              <w:jc w:val="right"/>
              <w:rPr>
                <w:rFonts w:ascii="Times New Roman" w:hAnsi="Times New Roman" w:cs="Times New Roman"/>
                <w:i/>
                <w:sz w:val="20"/>
                <w:szCs w:val="20"/>
                <w:highlight w:val="yellow"/>
                <w:lang w:val="vi-VN"/>
              </w:rPr>
            </w:pPr>
            <w:r w:rsidRPr="00D57C9C">
              <w:rPr>
                <w:rFonts w:ascii="Times New Roman" w:hAnsi="Times New Roman" w:cs="Times New Roman"/>
                <w:i/>
                <w:color w:val="000000"/>
                <w:sz w:val="20"/>
                <w:szCs w:val="20"/>
              </w:rPr>
              <w:t xml:space="preserve">4.093.156.960.842        </w:t>
            </w:r>
          </w:p>
        </w:tc>
        <w:tc>
          <w:tcPr>
            <w:tcW w:w="1996" w:type="dxa"/>
            <w:hideMark/>
          </w:tcPr>
          <w:p w:rsidR="00832AA7" w:rsidRPr="00D57C9C" w:rsidRDefault="00832AA7" w:rsidP="00E3787F">
            <w:pPr>
              <w:jc w:val="right"/>
              <w:rPr>
                <w:rFonts w:ascii="Times New Roman" w:hAnsi="Times New Roman" w:cs="Times New Roman"/>
                <w:i/>
                <w:iCs/>
                <w:color w:val="000000"/>
                <w:sz w:val="20"/>
                <w:szCs w:val="20"/>
              </w:rPr>
            </w:pPr>
            <w:r w:rsidRPr="00D57C9C">
              <w:rPr>
                <w:rFonts w:ascii="Times New Roman" w:hAnsi="Times New Roman" w:cs="Times New Roman"/>
                <w:i/>
                <w:iCs/>
                <w:color w:val="000000"/>
                <w:sz w:val="20"/>
                <w:szCs w:val="20"/>
              </w:rPr>
              <w:t xml:space="preserve">     </w:t>
            </w:r>
            <w:r w:rsidR="00E85AA9" w:rsidRPr="00D57C9C">
              <w:rPr>
                <w:rFonts w:ascii="Times New Roman" w:hAnsi="Times New Roman" w:cs="Times New Roman"/>
                <w:i/>
                <w:iCs/>
                <w:color w:val="000000"/>
                <w:sz w:val="20"/>
                <w:szCs w:val="20"/>
              </w:rPr>
              <w:t>134.850.183.954</w:t>
            </w:r>
            <w:r w:rsidRPr="00D57C9C">
              <w:rPr>
                <w:rFonts w:ascii="Times New Roman" w:hAnsi="Times New Roman" w:cs="Times New Roman"/>
                <w:i/>
                <w:iCs/>
                <w:color w:val="000000"/>
                <w:sz w:val="20"/>
                <w:szCs w:val="20"/>
              </w:rPr>
              <w:t xml:space="preserve"> </w:t>
            </w:r>
          </w:p>
        </w:tc>
        <w:tc>
          <w:tcPr>
            <w:tcW w:w="2129" w:type="dxa"/>
            <w:hideMark/>
          </w:tcPr>
          <w:p w:rsidR="00832AA7" w:rsidRPr="00D57C9C" w:rsidRDefault="00CD3540" w:rsidP="00E3787F">
            <w:pPr>
              <w:jc w:val="right"/>
              <w:rPr>
                <w:rFonts w:ascii="Times New Roman" w:hAnsi="Times New Roman" w:cs="Times New Roman"/>
                <w:i/>
                <w:color w:val="000000"/>
                <w:sz w:val="20"/>
                <w:szCs w:val="20"/>
              </w:rPr>
            </w:pPr>
            <w:r w:rsidRPr="00D57C9C">
              <w:rPr>
                <w:rFonts w:ascii="Times New Roman" w:hAnsi="Times New Roman" w:cs="Times New Roman"/>
                <w:i/>
                <w:color w:val="000000"/>
                <w:sz w:val="20"/>
                <w:szCs w:val="20"/>
              </w:rPr>
              <w:t>4.228.007.144.796</w:t>
            </w:r>
            <w:r w:rsidR="00832AA7" w:rsidRPr="00D57C9C">
              <w:rPr>
                <w:rFonts w:ascii="Times New Roman" w:hAnsi="Times New Roman" w:cs="Times New Roman"/>
                <w:i/>
                <w:color w:val="000000"/>
                <w:sz w:val="20"/>
                <w:szCs w:val="20"/>
              </w:rPr>
              <w:t xml:space="preserve">        </w:t>
            </w:r>
          </w:p>
        </w:tc>
      </w:tr>
      <w:tr w:rsidR="00832AA7" w:rsidRPr="00D57C9C" w:rsidTr="003C2984">
        <w:trPr>
          <w:trHeight w:val="243"/>
        </w:trPr>
        <w:tc>
          <w:tcPr>
            <w:tcW w:w="3528" w:type="dxa"/>
            <w:hideMark/>
          </w:tcPr>
          <w:p w:rsidR="004B0331" w:rsidRDefault="004B0331" w:rsidP="00DB3A93">
            <w:pPr>
              <w:spacing w:after="0" w:line="240" w:lineRule="auto"/>
              <w:jc w:val="both"/>
              <w:rPr>
                <w:rFonts w:ascii="Times New Roman" w:eastAsia="Times New Roman" w:hAnsi="Times New Roman" w:cs="Times New Roman"/>
                <w:b/>
                <w:bCs/>
                <w:sz w:val="20"/>
                <w:szCs w:val="20"/>
                <w:lang w:eastAsia="en-GB"/>
              </w:rPr>
            </w:pPr>
          </w:p>
          <w:p w:rsidR="004B0331" w:rsidRDefault="004B0331" w:rsidP="00DB3A93">
            <w:pPr>
              <w:spacing w:after="0" w:line="240" w:lineRule="auto"/>
              <w:jc w:val="both"/>
              <w:rPr>
                <w:rFonts w:ascii="Times New Roman" w:eastAsia="Times New Roman" w:hAnsi="Times New Roman" w:cs="Times New Roman"/>
                <w:b/>
                <w:bCs/>
                <w:sz w:val="20"/>
                <w:szCs w:val="20"/>
                <w:lang w:eastAsia="en-GB"/>
              </w:rPr>
            </w:pPr>
          </w:p>
          <w:p w:rsidR="00832AA7" w:rsidRPr="00D57C9C" w:rsidRDefault="00832AA7"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Vốn góp mua lại</w:t>
            </w:r>
          </w:p>
        </w:tc>
        <w:tc>
          <w:tcPr>
            <w:tcW w:w="1944" w:type="dxa"/>
          </w:tcPr>
          <w:p w:rsidR="00832AA7" w:rsidRPr="00D57C9C" w:rsidRDefault="00832AA7" w:rsidP="00E3787F">
            <w:pPr>
              <w:jc w:val="right"/>
              <w:rPr>
                <w:rFonts w:ascii="Times New Roman" w:hAnsi="Times New Roman" w:cs="Times New Roman"/>
                <w:sz w:val="20"/>
                <w:szCs w:val="20"/>
                <w:highlight w:val="yellow"/>
                <w:lang w:val="vi-VN"/>
              </w:rPr>
            </w:pPr>
          </w:p>
        </w:tc>
        <w:tc>
          <w:tcPr>
            <w:tcW w:w="1996" w:type="dxa"/>
            <w:hideMark/>
          </w:tcPr>
          <w:p w:rsidR="00832AA7" w:rsidRPr="00D57C9C" w:rsidRDefault="00832AA7" w:rsidP="00E3787F">
            <w:pPr>
              <w:jc w:val="right"/>
              <w:rPr>
                <w:rFonts w:ascii="Times New Roman" w:hAnsi="Times New Roman" w:cs="Times New Roman"/>
                <w:color w:val="000000"/>
                <w:sz w:val="20"/>
                <w:szCs w:val="20"/>
              </w:rPr>
            </w:pPr>
          </w:p>
        </w:tc>
        <w:tc>
          <w:tcPr>
            <w:tcW w:w="2129" w:type="dxa"/>
            <w:hideMark/>
          </w:tcPr>
          <w:p w:rsidR="00832AA7" w:rsidRPr="00D57C9C" w:rsidRDefault="00832AA7" w:rsidP="00E3787F">
            <w:pPr>
              <w:jc w:val="right"/>
              <w:rPr>
                <w:rFonts w:ascii="Times New Roman" w:hAnsi="Times New Roman" w:cs="Times New Roman"/>
                <w:color w:val="000000"/>
                <w:sz w:val="20"/>
                <w:szCs w:val="20"/>
              </w:rPr>
            </w:pPr>
          </w:p>
        </w:tc>
      </w:tr>
      <w:tr w:rsidR="00832AA7" w:rsidRPr="00D57C9C" w:rsidTr="003C2984">
        <w:trPr>
          <w:trHeight w:val="243"/>
        </w:trPr>
        <w:tc>
          <w:tcPr>
            <w:tcW w:w="3528" w:type="dxa"/>
            <w:hideMark/>
          </w:tcPr>
          <w:p w:rsidR="00832AA7" w:rsidRPr="00D57C9C" w:rsidRDefault="00832AA7"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832AA7" w:rsidRPr="00D57C9C" w:rsidRDefault="00600D4A" w:rsidP="00E3787F">
            <w:pPr>
              <w:jc w:val="right"/>
              <w:rPr>
                <w:rFonts w:ascii="Times New Roman" w:hAnsi="Times New Roman" w:cs="Times New Roman"/>
                <w:sz w:val="20"/>
                <w:szCs w:val="20"/>
              </w:rPr>
            </w:pPr>
            <w:r w:rsidRPr="00D57C9C">
              <w:rPr>
                <w:rFonts w:ascii="Times New Roman" w:hAnsi="Times New Roman" w:cs="Times New Roman"/>
                <w:color w:val="000000"/>
                <w:sz w:val="20"/>
                <w:szCs w:val="20"/>
              </w:rPr>
              <w:t>(121.003.186</w:t>
            </w:r>
            <w:r w:rsidR="000E32BC">
              <w:rPr>
                <w:rFonts w:ascii="Times New Roman" w:hAnsi="Times New Roman" w:cs="Times New Roman"/>
                <w:color w:val="000000"/>
                <w:sz w:val="20"/>
                <w:szCs w:val="20"/>
              </w:rPr>
              <w:t>,</w:t>
            </w:r>
            <w:r w:rsidRPr="00D57C9C">
              <w:rPr>
                <w:rFonts w:ascii="Times New Roman" w:hAnsi="Times New Roman" w:cs="Times New Roman"/>
                <w:color w:val="000000"/>
                <w:sz w:val="20"/>
                <w:szCs w:val="20"/>
              </w:rPr>
              <w:t xml:space="preserve">11)          </w:t>
            </w:r>
          </w:p>
        </w:tc>
        <w:tc>
          <w:tcPr>
            <w:tcW w:w="1996" w:type="dxa"/>
            <w:hideMark/>
          </w:tcPr>
          <w:p w:rsidR="00832AA7" w:rsidRPr="00D57C9C" w:rsidRDefault="00671168"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(4.889.962</w:t>
            </w:r>
            <w:r w:rsidR="009641FF">
              <w:rPr>
                <w:rFonts w:ascii="Times New Roman" w:hAnsi="Times New Roman" w:cs="Times New Roman"/>
                <w:color w:val="000000"/>
                <w:sz w:val="20"/>
                <w:szCs w:val="20"/>
              </w:rPr>
              <w:t>.</w:t>
            </w:r>
            <w:r w:rsidRPr="00D57C9C">
              <w:rPr>
                <w:rFonts w:ascii="Times New Roman" w:hAnsi="Times New Roman" w:cs="Times New Roman"/>
                <w:color w:val="000000"/>
                <w:sz w:val="20"/>
                <w:szCs w:val="20"/>
              </w:rPr>
              <w:t>54)</w:t>
            </w:r>
            <w:r w:rsidR="00832AA7" w:rsidRPr="00D57C9C">
              <w:rPr>
                <w:rFonts w:ascii="Times New Roman" w:hAnsi="Times New Roman" w:cs="Times New Roman"/>
                <w:color w:val="000000"/>
                <w:sz w:val="20"/>
                <w:szCs w:val="20"/>
              </w:rPr>
              <w:t xml:space="preserve">              </w:t>
            </w:r>
          </w:p>
        </w:tc>
        <w:tc>
          <w:tcPr>
            <w:tcW w:w="2129" w:type="dxa"/>
            <w:hideMark/>
          </w:tcPr>
          <w:p w:rsidR="00832AA7" w:rsidRPr="00D57C9C" w:rsidRDefault="00505D47"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(125.893.148</w:t>
            </w:r>
            <w:r w:rsidR="000E32BC">
              <w:rPr>
                <w:rFonts w:ascii="Times New Roman" w:hAnsi="Times New Roman" w:cs="Times New Roman"/>
                <w:color w:val="000000"/>
                <w:sz w:val="20"/>
                <w:szCs w:val="20"/>
              </w:rPr>
              <w:t>,</w:t>
            </w:r>
            <w:r w:rsidRPr="00D57C9C">
              <w:rPr>
                <w:rFonts w:ascii="Times New Roman" w:hAnsi="Times New Roman" w:cs="Times New Roman"/>
                <w:color w:val="000000"/>
                <w:sz w:val="20"/>
                <w:szCs w:val="20"/>
              </w:rPr>
              <w:t>65)</w:t>
            </w:r>
          </w:p>
        </w:tc>
      </w:tr>
      <w:tr w:rsidR="00832AA7" w:rsidRPr="00D57C9C" w:rsidTr="003C2984">
        <w:trPr>
          <w:trHeight w:val="243"/>
        </w:trPr>
        <w:tc>
          <w:tcPr>
            <w:tcW w:w="3528" w:type="dxa"/>
            <w:hideMark/>
          </w:tcPr>
          <w:p w:rsidR="00832AA7" w:rsidRPr="00D57C9C" w:rsidRDefault="00832AA7"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832AA7" w:rsidRPr="00D57C9C" w:rsidRDefault="00600D4A" w:rsidP="00E3787F">
            <w:pPr>
              <w:jc w:val="right"/>
              <w:rPr>
                <w:rFonts w:ascii="Times New Roman" w:hAnsi="Times New Roman" w:cs="Times New Roman"/>
                <w:sz w:val="20"/>
                <w:szCs w:val="20"/>
                <w:highlight w:val="yellow"/>
                <w:lang w:val="vi-VN"/>
              </w:rPr>
            </w:pPr>
            <w:r w:rsidRPr="00D57C9C">
              <w:rPr>
                <w:rFonts w:ascii="Times New Roman" w:hAnsi="Times New Roman" w:cs="Times New Roman"/>
                <w:color w:val="000000"/>
                <w:sz w:val="20"/>
                <w:szCs w:val="20"/>
              </w:rPr>
              <w:t>(1.210.031.861.100)</w:t>
            </w:r>
          </w:p>
        </w:tc>
        <w:tc>
          <w:tcPr>
            <w:tcW w:w="1996" w:type="dxa"/>
            <w:hideMark/>
          </w:tcPr>
          <w:p w:rsidR="00832AA7" w:rsidRPr="00D57C9C" w:rsidRDefault="007E3CB5"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(48.899.625.400)</w:t>
            </w:r>
            <w:r w:rsidR="00832AA7" w:rsidRPr="00D57C9C">
              <w:rPr>
                <w:rFonts w:ascii="Times New Roman" w:hAnsi="Times New Roman" w:cs="Times New Roman"/>
                <w:color w:val="000000"/>
                <w:sz w:val="20"/>
                <w:szCs w:val="20"/>
              </w:rPr>
              <w:t xml:space="preserve">          </w:t>
            </w:r>
          </w:p>
        </w:tc>
        <w:tc>
          <w:tcPr>
            <w:tcW w:w="2129" w:type="dxa"/>
            <w:hideMark/>
          </w:tcPr>
          <w:p w:rsidR="00832AA7" w:rsidRPr="00D57C9C" w:rsidRDefault="00204B06"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(1.258.931.486.500)</w:t>
            </w:r>
            <w:r w:rsidR="00832AA7" w:rsidRPr="00D57C9C">
              <w:rPr>
                <w:rFonts w:ascii="Times New Roman" w:hAnsi="Times New Roman" w:cs="Times New Roman"/>
                <w:color w:val="000000"/>
                <w:sz w:val="20"/>
                <w:szCs w:val="20"/>
              </w:rPr>
              <w:t xml:space="preserve">     </w:t>
            </w:r>
          </w:p>
        </w:tc>
      </w:tr>
      <w:tr w:rsidR="00832AA7" w:rsidRPr="00D57C9C" w:rsidTr="003C2984">
        <w:trPr>
          <w:trHeight w:val="369"/>
        </w:trPr>
        <w:tc>
          <w:tcPr>
            <w:tcW w:w="3528" w:type="dxa"/>
            <w:hideMark/>
          </w:tcPr>
          <w:p w:rsidR="005157A0" w:rsidRDefault="00832AA7" w:rsidP="00DB3A93">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Thặng dư vốn góp mua lại của </w:t>
            </w:r>
          </w:p>
          <w:p w:rsidR="00832AA7" w:rsidRDefault="00832AA7" w:rsidP="00DB3A93">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Nhà đầu tư</w:t>
            </w:r>
          </w:p>
          <w:p w:rsidR="003C2984" w:rsidRPr="003C2984" w:rsidRDefault="003C2984" w:rsidP="00DB3A93">
            <w:pPr>
              <w:spacing w:after="0" w:line="240" w:lineRule="auto"/>
              <w:jc w:val="both"/>
              <w:rPr>
                <w:rFonts w:ascii="Times New Roman" w:eastAsia="Times New Roman" w:hAnsi="Times New Roman" w:cs="Times New Roman"/>
                <w:sz w:val="20"/>
                <w:szCs w:val="20"/>
                <w:lang w:eastAsia="en-GB"/>
              </w:rPr>
            </w:pPr>
          </w:p>
        </w:tc>
        <w:tc>
          <w:tcPr>
            <w:tcW w:w="1944" w:type="dxa"/>
          </w:tcPr>
          <w:p w:rsidR="00832AA7" w:rsidRPr="00D57C9C" w:rsidRDefault="00600D4A" w:rsidP="00E3787F">
            <w:pPr>
              <w:jc w:val="right"/>
              <w:rPr>
                <w:rFonts w:ascii="Times New Roman" w:hAnsi="Times New Roman" w:cs="Times New Roman"/>
                <w:sz w:val="20"/>
                <w:szCs w:val="20"/>
                <w:highlight w:val="yellow"/>
              </w:rPr>
            </w:pPr>
            <w:r w:rsidRPr="00D57C9C">
              <w:rPr>
                <w:rFonts w:ascii="Times New Roman" w:hAnsi="Times New Roman" w:cs="Times New Roman"/>
                <w:color w:val="000000"/>
                <w:sz w:val="20"/>
                <w:szCs w:val="20"/>
              </w:rPr>
              <w:t xml:space="preserve">(1.862.142.127.418)     </w:t>
            </w:r>
          </w:p>
        </w:tc>
        <w:tc>
          <w:tcPr>
            <w:tcW w:w="1996" w:type="dxa"/>
            <w:hideMark/>
          </w:tcPr>
          <w:p w:rsidR="00832AA7" w:rsidRPr="00D57C9C" w:rsidRDefault="00B40AF6" w:rsidP="00E3787F">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(142.413.907.629)</w:t>
            </w:r>
            <w:r w:rsidR="00832AA7" w:rsidRPr="00D57C9C">
              <w:rPr>
                <w:rFonts w:ascii="Times New Roman" w:hAnsi="Times New Roman" w:cs="Times New Roman"/>
                <w:color w:val="000000"/>
                <w:sz w:val="20"/>
                <w:szCs w:val="20"/>
              </w:rPr>
              <w:t xml:space="preserve">        </w:t>
            </w:r>
          </w:p>
        </w:tc>
        <w:tc>
          <w:tcPr>
            <w:tcW w:w="2129" w:type="dxa"/>
            <w:hideMark/>
          </w:tcPr>
          <w:p w:rsidR="00832AA7" w:rsidRPr="003C2984" w:rsidRDefault="00816507" w:rsidP="003C2984">
            <w:pPr>
              <w:jc w:val="right"/>
              <w:rPr>
                <w:rFonts w:ascii="Times New Roman" w:hAnsi="Times New Roman" w:cs="Times New Roman"/>
                <w:color w:val="000000" w:themeColor="text1"/>
                <w:sz w:val="20"/>
                <w:szCs w:val="20"/>
              </w:rPr>
            </w:pPr>
            <w:r w:rsidRPr="00D57C9C">
              <w:rPr>
                <w:rFonts w:ascii="Times New Roman" w:hAnsi="Times New Roman" w:cs="Times New Roman"/>
                <w:color w:val="000000" w:themeColor="text1"/>
                <w:sz w:val="20"/>
                <w:szCs w:val="20"/>
              </w:rPr>
              <w:t>(2.004.556.035.047)</w:t>
            </w:r>
            <w:r w:rsidR="00832AA7" w:rsidRPr="00D57C9C">
              <w:rPr>
                <w:rFonts w:ascii="Times New Roman" w:hAnsi="Times New Roman" w:cs="Times New Roman"/>
                <w:color w:val="000000"/>
                <w:sz w:val="20"/>
                <w:szCs w:val="20"/>
              </w:rPr>
              <w:t xml:space="preserve">     </w:t>
            </w:r>
          </w:p>
        </w:tc>
      </w:tr>
      <w:tr w:rsidR="00832AA7" w:rsidRPr="00522DED" w:rsidTr="003C2984">
        <w:trPr>
          <w:trHeight w:val="243"/>
        </w:trPr>
        <w:tc>
          <w:tcPr>
            <w:tcW w:w="3528" w:type="dxa"/>
            <w:hideMark/>
          </w:tcPr>
          <w:p w:rsidR="00832AA7" w:rsidRPr="00522DED" w:rsidRDefault="00832AA7" w:rsidP="00DB3A93">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944" w:type="dxa"/>
          </w:tcPr>
          <w:p w:rsidR="00832AA7" w:rsidRPr="00522DED" w:rsidRDefault="00600D4A" w:rsidP="00E3787F">
            <w:pPr>
              <w:jc w:val="right"/>
              <w:rPr>
                <w:rFonts w:ascii="Times New Roman" w:hAnsi="Times New Roman" w:cs="Times New Roman"/>
                <w:i/>
                <w:sz w:val="20"/>
                <w:szCs w:val="20"/>
                <w:highlight w:val="yellow"/>
              </w:rPr>
            </w:pPr>
            <w:r w:rsidRPr="00522DED">
              <w:rPr>
                <w:rFonts w:ascii="Times New Roman" w:hAnsi="Times New Roman" w:cs="Times New Roman"/>
                <w:i/>
                <w:color w:val="000000"/>
                <w:sz w:val="20"/>
                <w:szCs w:val="20"/>
              </w:rPr>
              <w:t>(3.072.173.988.518)</w:t>
            </w:r>
          </w:p>
        </w:tc>
        <w:tc>
          <w:tcPr>
            <w:tcW w:w="1996" w:type="dxa"/>
            <w:hideMark/>
          </w:tcPr>
          <w:p w:rsidR="00832AA7" w:rsidRPr="00522DED" w:rsidRDefault="00832AA7" w:rsidP="00E3787F">
            <w:pPr>
              <w:jc w:val="right"/>
              <w:rPr>
                <w:rFonts w:ascii="Times New Roman" w:hAnsi="Times New Roman" w:cs="Times New Roman"/>
                <w:i/>
                <w:iCs/>
                <w:color w:val="000000"/>
                <w:sz w:val="20"/>
                <w:szCs w:val="20"/>
              </w:rPr>
            </w:pPr>
            <w:r w:rsidRPr="00522DED">
              <w:rPr>
                <w:rFonts w:ascii="Times New Roman" w:hAnsi="Times New Roman" w:cs="Times New Roman"/>
                <w:i/>
                <w:iCs/>
                <w:color w:val="000000"/>
                <w:sz w:val="20"/>
                <w:szCs w:val="20"/>
              </w:rPr>
              <w:t xml:space="preserve">   </w:t>
            </w:r>
            <w:r w:rsidR="00342E8F" w:rsidRPr="00522DED">
              <w:rPr>
                <w:rFonts w:ascii="Times New Roman" w:hAnsi="Times New Roman" w:cs="Times New Roman"/>
                <w:i/>
                <w:iCs/>
                <w:color w:val="000000"/>
                <w:sz w:val="20"/>
                <w:szCs w:val="20"/>
              </w:rPr>
              <w:t>(191.313.533.029)</w:t>
            </w:r>
          </w:p>
        </w:tc>
        <w:tc>
          <w:tcPr>
            <w:tcW w:w="2129" w:type="dxa"/>
            <w:hideMark/>
          </w:tcPr>
          <w:p w:rsidR="00832AA7" w:rsidRPr="00522DED" w:rsidRDefault="00D862DB" w:rsidP="00E3787F">
            <w:pPr>
              <w:jc w:val="right"/>
              <w:rPr>
                <w:rFonts w:ascii="Times New Roman" w:hAnsi="Times New Roman" w:cs="Times New Roman"/>
                <w:i/>
                <w:color w:val="000000"/>
                <w:sz w:val="20"/>
                <w:szCs w:val="20"/>
              </w:rPr>
            </w:pPr>
            <w:r w:rsidRPr="00522DED">
              <w:rPr>
                <w:rFonts w:ascii="Times New Roman" w:hAnsi="Times New Roman" w:cs="Times New Roman"/>
                <w:i/>
                <w:color w:val="000000"/>
                <w:sz w:val="20"/>
                <w:szCs w:val="20"/>
              </w:rPr>
              <w:t>(3.263.487.521.547)</w:t>
            </w:r>
          </w:p>
        </w:tc>
      </w:tr>
      <w:tr w:rsidR="00600D4A" w:rsidRPr="00D57C9C" w:rsidTr="003C2984">
        <w:trPr>
          <w:trHeight w:val="243"/>
        </w:trPr>
        <w:tc>
          <w:tcPr>
            <w:tcW w:w="3528" w:type="dxa"/>
            <w:hideMark/>
          </w:tcPr>
          <w:p w:rsidR="00600D4A" w:rsidRPr="00D57C9C" w:rsidRDefault="00600D4A"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944" w:type="dxa"/>
          </w:tcPr>
          <w:p w:rsidR="00600D4A" w:rsidRPr="00D57C9C" w:rsidRDefault="00600D4A"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258.855.445.895 </w:t>
            </w:r>
          </w:p>
        </w:tc>
        <w:tc>
          <w:tcPr>
            <w:tcW w:w="1996" w:type="dxa"/>
            <w:hideMark/>
          </w:tcPr>
          <w:p w:rsidR="00600D4A" w:rsidRPr="00D57C9C" w:rsidRDefault="00600D4A"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w:t>
            </w:r>
            <w:r w:rsidR="00AD7363" w:rsidRPr="00D57C9C">
              <w:rPr>
                <w:rFonts w:ascii="Times New Roman" w:hAnsi="Times New Roman" w:cs="Times New Roman"/>
                <w:b/>
                <w:bCs/>
                <w:color w:val="000000"/>
                <w:sz w:val="20"/>
                <w:szCs w:val="20"/>
              </w:rPr>
              <w:t>51.728.878.849</w:t>
            </w:r>
          </w:p>
        </w:tc>
        <w:tc>
          <w:tcPr>
            <w:tcW w:w="2129" w:type="dxa"/>
            <w:hideMark/>
          </w:tcPr>
          <w:p w:rsidR="00600D4A" w:rsidRPr="00D57C9C" w:rsidRDefault="00AA044B"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310.584.324.744</w:t>
            </w:r>
          </w:p>
        </w:tc>
      </w:tr>
      <w:tr w:rsidR="00600D4A" w:rsidRPr="00D57C9C" w:rsidTr="003C2984">
        <w:trPr>
          <w:trHeight w:val="243"/>
        </w:trPr>
        <w:tc>
          <w:tcPr>
            <w:tcW w:w="3528" w:type="dxa"/>
            <w:hideMark/>
          </w:tcPr>
          <w:p w:rsidR="00600D4A" w:rsidRPr="00D57C9C" w:rsidRDefault="00600D4A"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944" w:type="dxa"/>
          </w:tcPr>
          <w:p w:rsidR="00600D4A" w:rsidRPr="00D57C9C" w:rsidRDefault="00600D4A"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32.261.433</w:t>
            </w:r>
            <w:r w:rsidR="000E32BC">
              <w:rPr>
                <w:rFonts w:ascii="Times New Roman" w:hAnsi="Times New Roman" w:cs="Times New Roman"/>
                <w:b/>
                <w:bCs/>
                <w:color w:val="000000"/>
                <w:sz w:val="20"/>
                <w:szCs w:val="20"/>
              </w:rPr>
              <w:t>,</w:t>
            </w:r>
            <w:r w:rsidRPr="00D57C9C">
              <w:rPr>
                <w:rFonts w:ascii="Times New Roman" w:hAnsi="Times New Roman" w:cs="Times New Roman"/>
                <w:b/>
                <w:bCs/>
                <w:color w:val="000000"/>
                <w:sz w:val="20"/>
                <w:szCs w:val="20"/>
              </w:rPr>
              <w:t xml:space="preserve">54 </w:t>
            </w:r>
          </w:p>
        </w:tc>
        <w:tc>
          <w:tcPr>
            <w:tcW w:w="1996" w:type="dxa"/>
            <w:hideMark/>
          </w:tcPr>
          <w:p w:rsidR="00600D4A" w:rsidRPr="00D57C9C" w:rsidRDefault="00600D4A"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w:t>
            </w:r>
            <w:r w:rsidR="00AD7363" w:rsidRPr="00D57C9C">
              <w:rPr>
                <w:rFonts w:ascii="Times New Roman" w:hAnsi="Times New Roman" w:cs="Times New Roman"/>
                <w:b/>
                <w:bCs/>
                <w:color w:val="000000"/>
                <w:sz w:val="20"/>
                <w:szCs w:val="20"/>
              </w:rPr>
              <w:t>(1.579.099</w:t>
            </w:r>
            <w:r w:rsidR="000E32BC">
              <w:rPr>
                <w:rFonts w:ascii="Times New Roman" w:hAnsi="Times New Roman" w:cs="Times New Roman"/>
                <w:b/>
                <w:bCs/>
                <w:color w:val="000000"/>
                <w:sz w:val="20"/>
                <w:szCs w:val="20"/>
              </w:rPr>
              <w:t>,</w:t>
            </w:r>
            <w:r w:rsidR="00AD7363" w:rsidRPr="00D57C9C">
              <w:rPr>
                <w:rFonts w:ascii="Times New Roman" w:hAnsi="Times New Roman" w:cs="Times New Roman"/>
                <w:b/>
                <w:bCs/>
                <w:color w:val="000000"/>
                <w:sz w:val="20"/>
                <w:szCs w:val="20"/>
              </w:rPr>
              <w:t>33)</w:t>
            </w:r>
            <w:r w:rsidRPr="00D57C9C">
              <w:rPr>
                <w:rFonts w:ascii="Times New Roman" w:hAnsi="Times New Roman" w:cs="Times New Roman"/>
                <w:b/>
                <w:bCs/>
                <w:color w:val="000000"/>
                <w:sz w:val="20"/>
                <w:szCs w:val="20"/>
              </w:rPr>
              <w:t xml:space="preserve"> </w:t>
            </w:r>
          </w:p>
        </w:tc>
        <w:tc>
          <w:tcPr>
            <w:tcW w:w="2129" w:type="dxa"/>
            <w:hideMark/>
          </w:tcPr>
          <w:p w:rsidR="00600D4A" w:rsidRPr="00D57C9C" w:rsidRDefault="00600D4A"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w:t>
            </w:r>
            <w:r w:rsidR="005D1661" w:rsidRPr="00D57C9C">
              <w:rPr>
                <w:rFonts w:ascii="Times New Roman" w:hAnsi="Times New Roman" w:cs="Times New Roman"/>
                <w:b/>
                <w:bCs/>
                <w:color w:val="000000"/>
                <w:sz w:val="20"/>
                <w:szCs w:val="20"/>
              </w:rPr>
              <w:t>30.682.334</w:t>
            </w:r>
            <w:r w:rsidR="000E32BC">
              <w:rPr>
                <w:rFonts w:ascii="Times New Roman" w:hAnsi="Times New Roman" w:cs="Times New Roman"/>
                <w:b/>
                <w:bCs/>
                <w:color w:val="000000"/>
                <w:sz w:val="20"/>
                <w:szCs w:val="20"/>
              </w:rPr>
              <w:t>,</w:t>
            </w:r>
            <w:r w:rsidR="005D1661" w:rsidRPr="00D57C9C">
              <w:rPr>
                <w:rFonts w:ascii="Times New Roman" w:hAnsi="Times New Roman" w:cs="Times New Roman"/>
                <w:b/>
                <w:bCs/>
                <w:color w:val="000000"/>
                <w:sz w:val="20"/>
                <w:szCs w:val="20"/>
              </w:rPr>
              <w:t>21</w:t>
            </w:r>
            <w:r w:rsidRPr="00D57C9C">
              <w:rPr>
                <w:rFonts w:ascii="Times New Roman" w:hAnsi="Times New Roman" w:cs="Times New Roman"/>
                <w:b/>
                <w:bCs/>
                <w:color w:val="000000"/>
                <w:sz w:val="20"/>
                <w:szCs w:val="20"/>
              </w:rPr>
              <w:t xml:space="preserve"> </w:t>
            </w:r>
          </w:p>
        </w:tc>
      </w:tr>
      <w:tr w:rsidR="00600D4A" w:rsidRPr="00D57C9C" w:rsidTr="003C2984">
        <w:trPr>
          <w:trHeight w:val="243"/>
        </w:trPr>
        <w:tc>
          <w:tcPr>
            <w:tcW w:w="3528" w:type="dxa"/>
            <w:hideMark/>
          </w:tcPr>
          <w:p w:rsidR="00600D4A" w:rsidRPr="00D57C9C" w:rsidRDefault="00600D4A"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trị vốn góp hiện hành</w:t>
            </w:r>
          </w:p>
        </w:tc>
        <w:tc>
          <w:tcPr>
            <w:tcW w:w="1944" w:type="dxa"/>
          </w:tcPr>
          <w:p w:rsidR="00600D4A" w:rsidRPr="00D57C9C" w:rsidRDefault="00600D4A" w:rsidP="00E3787F">
            <w:pPr>
              <w:jc w:val="right"/>
              <w:rPr>
                <w:rFonts w:ascii="Times New Roman" w:hAnsi="Times New Roman" w:cs="Times New Roman"/>
                <w:b/>
                <w:bCs/>
                <w:sz w:val="20"/>
                <w:szCs w:val="20"/>
                <w:highlight w:val="yellow"/>
                <w:lang w:val="vi-VN"/>
              </w:rPr>
            </w:pPr>
            <w:r w:rsidRPr="00D57C9C">
              <w:rPr>
                <w:rFonts w:ascii="Times New Roman" w:hAnsi="Times New Roman" w:cs="Times New Roman"/>
                <w:b/>
                <w:bCs/>
                <w:color w:val="000000"/>
                <w:sz w:val="20"/>
                <w:szCs w:val="20"/>
              </w:rPr>
              <w:t>1.279.838.418.219</w:t>
            </w:r>
          </w:p>
        </w:tc>
        <w:tc>
          <w:tcPr>
            <w:tcW w:w="1996" w:type="dxa"/>
            <w:hideMark/>
          </w:tcPr>
          <w:p w:rsidR="00600D4A" w:rsidRPr="00D57C9C" w:rsidRDefault="00B31FD1"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(4.734.470.226)</w:t>
            </w:r>
            <w:r w:rsidR="00600D4A" w:rsidRPr="00D57C9C">
              <w:rPr>
                <w:rFonts w:ascii="Times New Roman" w:hAnsi="Times New Roman" w:cs="Times New Roman"/>
                <w:b/>
                <w:bCs/>
                <w:color w:val="000000"/>
                <w:sz w:val="20"/>
                <w:szCs w:val="20"/>
              </w:rPr>
              <w:t xml:space="preserve">    </w:t>
            </w:r>
          </w:p>
        </w:tc>
        <w:tc>
          <w:tcPr>
            <w:tcW w:w="2129" w:type="dxa"/>
            <w:hideMark/>
          </w:tcPr>
          <w:p w:rsidR="00600D4A" w:rsidRPr="00D57C9C" w:rsidRDefault="00600D4A"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w:t>
            </w:r>
            <w:r w:rsidR="005D0458" w:rsidRPr="00D57C9C">
              <w:rPr>
                <w:rFonts w:ascii="Times New Roman" w:hAnsi="Times New Roman" w:cs="Times New Roman"/>
                <w:b/>
                <w:bCs/>
                <w:color w:val="000000"/>
                <w:sz w:val="20"/>
                <w:szCs w:val="20"/>
              </w:rPr>
              <w:t>1.275.103.947.993</w:t>
            </w:r>
            <w:r w:rsidRPr="00D57C9C">
              <w:rPr>
                <w:rFonts w:ascii="Times New Roman" w:hAnsi="Times New Roman" w:cs="Times New Roman"/>
                <w:b/>
                <w:bCs/>
                <w:color w:val="000000"/>
                <w:sz w:val="20"/>
                <w:szCs w:val="20"/>
              </w:rPr>
              <w:t xml:space="preserve"> </w:t>
            </w:r>
          </w:p>
        </w:tc>
      </w:tr>
      <w:tr w:rsidR="00600D4A" w:rsidRPr="00D57C9C" w:rsidTr="003C2984">
        <w:trPr>
          <w:trHeight w:val="243"/>
        </w:trPr>
        <w:tc>
          <w:tcPr>
            <w:tcW w:w="3528" w:type="dxa"/>
            <w:hideMark/>
          </w:tcPr>
          <w:p w:rsidR="00600D4A" w:rsidRPr="00D57C9C" w:rsidRDefault="00600D4A"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944" w:type="dxa"/>
          </w:tcPr>
          <w:p w:rsidR="00600D4A" w:rsidRPr="00D57C9C" w:rsidRDefault="00600D4A" w:rsidP="00E3787F">
            <w:pPr>
              <w:jc w:val="right"/>
              <w:rPr>
                <w:rFonts w:ascii="Times New Roman" w:hAnsi="Times New Roman" w:cs="Times New Roman"/>
                <w:b/>
                <w:bCs/>
                <w:sz w:val="20"/>
                <w:szCs w:val="20"/>
                <w:highlight w:val="yellow"/>
                <w:lang w:val="vi-VN"/>
              </w:rPr>
            </w:pPr>
            <w:r w:rsidRPr="00D57C9C">
              <w:rPr>
                <w:rFonts w:ascii="Times New Roman" w:hAnsi="Times New Roman" w:cs="Times New Roman"/>
                <w:b/>
                <w:bCs/>
                <w:color w:val="000000"/>
                <w:sz w:val="20"/>
                <w:szCs w:val="20"/>
              </w:rPr>
              <w:t>39.670</w:t>
            </w:r>
            <w:r w:rsidR="000E32BC">
              <w:rPr>
                <w:rFonts w:ascii="Times New Roman" w:hAnsi="Times New Roman" w:cs="Times New Roman"/>
                <w:b/>
                <w:bCs/>
                <w:color w:val="000000"/>
                <w:sz w:val="20"/>
                <w:szCs w:val="20"/>
              </w:rPr>
              <w:t>,</w:t>
            </w:r>
            <w:r w:rsidRPr="00D57C9C">
              <w:rPr>
                <w:rFonts w:ascii="Times New Roman" w:hAnsi="Times New Roman" w:cs="Times New Roman"/>
                <w:b/>
                <w:bCs/>
                <w:color w:val="000000"/>
                <w:sz w:val="20"/>
                <w:szCs w:val="20"/>
              </w:rPr>
              <w:t>84</w:t>
            </w:r>
          </w:p>
        </w:tc>
        <w:tc>
          <w:tcPr>
            <w:tcW w:w="1996" w:type="dxa"/>
            <w:hideMark/>
          </w:tcPr>
          <w:p w:rsidR="00600D4A" w:rsidRPr="00D57C9C" w:rsidRDefault="00600D4A" w:rsidP="00E3787F">
            <w:pPr>
              <w:jc w:val="right"/>
              <w:rPr>
                <w:rFonts w:ascii="Times New Roman" w:hAnsi="Times New Roman" w:cs="Times New Roman"/>
                <w:color w:val="000000"/>
                <w:sz w:val="20"/>
                <w:szCs w:val="20"/>
              </w:rPr>
            </w:pPr>
          </w:p>
        </w:tc>
        <w:tc>
          <w:tcPr>
            <w:tcW w:w="2129" w:type="dxa"/>
            <w:hideMark/>
          </w:tcPr>
          <w:p w:rsidR="00600D4A" w:rsidRPr="00D57C9C" w:rsidRDefault="00720D59" w:rsidP="00E3787F">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41.558</w:t>
            </w:r>
            <w:r w:rsidR="000E32BC">
              <w:rPr>
                <w:rFonts w:ascii="Times New Roman" w:hAnsi="Times New Roman" w:cs="Times New Roman"/>
                <w:b/>
                <w:bCs/>
                <w:color w:val="000000"/>
                <w:sz w:val="20"/>
                <w:szCs w:val="20"/>
              </w:rPr>
              <w:t>,</w:t>
            </w:r>
            <w:r w:rsidRPr="00D57C9C">
              <w:rPr>
                <w:rFonts w:ascii="Times New Roman" w:hAnsi="Times New Roman" w:cs="Times New Roman"/>
                <w:b/>
                <w:bCs/>
                <w:color w:val="000000"/>
                <w:sz w:val="20"/>
                <w:szCs w:val="20"/>
              </w:rPr>
              <w:t>24</w:t>
            </w:r>
          </w:p>
        </w:tc>
      </w:tr>
    </w:tbl>
    <w:p w:rsidR="00126CA3" w:rsidRPr="00D57C9C" w:rsidRDefault="00126CA3" w:rsidP="009761A9">
      <w:pPr>
        <w:spacing w:beforeLines="60" w:afterLines="60" w:line="240" w:lineRule="auto"/>
        <w:jc w:val="both"/>
        <w:outlineLvl w:val="0"/>
        <w:rPr>
          <w:rFonts w:ascii="Times New Roman" w:hAnsi="Times New Roman" w:cs="Times New Roman"/>
          <w:b/>
          <w:sz w:val="20"/>
          <w:szCs w:val="20"/>
        </w:rPr>
      </w:pPr>
    </w:p>
    <w:p w:rsidR="003E3718" w:rsidRPr="00D57C9C" w:rsidRDefault="00893CD1"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bookmarkStart w:id="0" w:name="OLE_LINK8"/>
      <w:r w:rsidRPr="00D57C9C">
        <w:rPr>
          <w:rFonts w:ascii="Times New Roman" w:hAnsi="Times New Roman" w:cs="Times New Roman"/>
          <w:b/>
          <w:sz w:val="20"/>
          <w:szCs w:val="20"/>
          <w:lang w:val="vi-VN"/>
        </w:rPr>
        <w:t>Lợi nhuận chưa phân phối</w:t>
      </w:r>
    </w:p>
    <w:tbl>
      <w:tblPr>
        <w:tblW w:w="9624" w:type="dxa"/>
        <w:tblLook w:val="04A0"/>
      </w:tblPr>
      <w:tblGrid>
        <w:gridCol w:w="3348"/>
        <w:gridCol w:w="2160"/>
        <w:gridCol w:w="1952"/>
        <w:gridCol w:w="2164"/>
      </w:tblGrid>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7037E0"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4769AC" w:rsidRPr="00D57C9C">
              <w:rPr>
                <w:rFonts w:ascii="Times New Roman" w:eastAsia="Times New Roman" w:hAnsi="Times New Roman" w:cs="Times New Roman"/>
                <w:b/>
                <w:bCs/>
                <w:sz w:val="20"/>
                <w:szCs w:val="20"/>
                <w:lang w:eastAsia="en-GB"/>
              </w:rPr>
              <w:t>0</w:t>
            </w:r>
            <w:r w:rsidR="007037E0" w:rsidRPr="00D57C9C">
              <w:rPr>
                <w:rFonts w:ascii="Times New Roman" w:eastAsia="Times New Roman" w:hAnsi="Times New Roman" w:cs="Times New Roman"/>
                <w:b/>
                <w:bCs/>
                <w:sz w:val="20"/>
                <w:szCs w:val="20"/>
                <w:lang w:eastAsia="en-GB"/>
              </w:rPr>
              <w:t>6</w:t>
            </w:r>
            <w:r w:rsidRPr="00D57C9C">
              <w:rPr>
                <w:rFonts w:ascii="Times New Roman" w:eastAsia="Times New Roman" w:hAnsi="Times New Roman" w:cs="Times New Roman"/>
                <w:b/>
                <w:bCs/>
                <w:sz w:val="20"/>
                <w:szCs w:val="20"/>
                <w:lang w:val="vi-VN" w:eastAsia="en-GB"/>
              </w:rPr>
              <w:t>/201</w:t>
            </w:r>
            <w:r w:rsidR="004769AC" w:rsidRPr="00D57C9C">
              <w:rPr>
                <w:rFonts w:ascii="Times New Roman" w:eastAsia="Times New Roman" w:hAnsi="Times New Roman" w:cs="Times New Roman"/>
                <w:b/>
                <w:bCs/>
                <w:sz w:val="20"/>
                <w:szCs w:val="20"/>
                <w:lang w:eastAsia="en-GB"/>
              </w:rPr>
              <w:t>8</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4769AC"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Pr="00D57C9C">
              <w:rPr>
                <w:rFonts w:ascii="Times New Roman" w:eastAsia="Times New Roman" w:hAnsi="Times New Roman" w:cs="Times New Roman"/>
                <w:b/>
                <w:bCs/>
                <w:sz w:val="20"/>
                <w:szCs w:val="20"/>
                <w:lang w:eastAsia="en-GB"/>
              </w:rPr>
              <w:t>0</w:t>
            </w:r>
            <w:r w:rsidR="007037E0" w:rsidRPr="00D57C9C">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EB723A" w:rsidRPr="00D57C9C" w:rsidTr="007751C8">
        <w:trPr>
          <w:trHeight w:val="246"/>
        </w:trPr>
        <w:tc>
          <w:tcPr>
            <w:tcW w:w="3348" w:type="dxa"/>
            <w:hideMark/>
          </w:tcPr>
          <w:p w:rsidR="00EB723A" w:rsidRPr="00D57C9C" w:rsidRDefault="00EB723A"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EB723A" w:rsidRPr="00D57C9C" w:rsidRDefault="007037E0" w:rsidP="003C2984">
            <w:pPr>
              <w:jc w:val="right"/>
              <w:rPr>
                <w:rFonts w:ascii="Times New Roman" w:hAnsi="Times New Roman" w:cs="Times New Roman"/>
                <w:color w:val="000000"/>
                <w:sz w:val="20"/>
                <w:szCs w:val="20"/>
              </w:rPr>
            </w:pPr>
            <w:r w:rsidRPr="00D57C9C">
              <w:rPr>
                <w:rFonts w:ascii="Times New Roman" w:eastAsia="Times New Roman" w:hAnsi="Times New Roman" w:cs="Times New Roman"/>
                <w:color w:val="000000"/>
                <w:sz w:val="20"/>
                <w:szCs w:val="20"/>
                <w:lang w:eastAsia="en-GB"/>
              </w:rPr>
              <w:t>181.747.009.614</w:t>
            </w:r>
          </w:p>
        </w:tc>
        <w:tc>
          <w:tcPr>
            <w:tcW w:w="1952" w:type="dxa"/>
            <w:hideMark/>
          </w:tcPr>
          <w:p w:rsidR="00EB723A" w:rsidRPr="00D57C9C" w:rsidRDefault="00702167" w:rsidP="003C2984">
            <w:pPr>
              <w:jc w:val="right"/>
              <w:rPr>
                <w:rFonts w:ascii="Times New Roman" w:hAnsi="Times New Roman" w:cs="Times New Roman"/>
                <w:color w:val="000000"/>
                <w:sz w:val="20"/>
                <w:szCs w:val="20"/>
                <w:highlight w:val="yellow"/>
              </w:rPr>
            </w:pPr>
            <w:r w:rsidRPr="00D57C9C">
              <w:rPr>
                <w:rFonts w:ascii="Times New Roman" w:eastAsia="Times New Roman" w:hAnsi="Times New Roman" w:cs="Times New Roman"/>
                <w:color w:val="000000"/>
                <w:sz w:val="20"/>
                <w:szCs w:val="20"/>
                <w:lang w:eastAsia="en-GB"/>
              </w:rPr>
              <w:t>10.654.960.258</w:t>
            </w:r>
          </w:p>
        </w:tc>
        <w:tc>
          <w:tcPr>
            <w:tcW w:w="2164" w:type="dxa"/>
            <w:noWrap/>
            <w:hideMark/>
          </w:tcPr>
          <w:p w:rsidR="00EB723A" w:rsidRPr="00D57C9C" w:rsidRDefault="007037E0" w:rsidP="003C2984">
            <w:pPr>
              <w:jc w:val="right"/>
              <w:rPr>
                <w:rFonts w:ascii="Times New Roman" w:hAnsi="Times New Roman" w:cs="Times New Roman"/>
                <w:color w:val="000000"/>
                <w:sz w:val="20"/>
                <w:szCs w:val="20"/>
                <w:highlight w:val="yellow"/>
              </w:rPr>
            </w:pPr>
            <w:r w:rsidRPr="00D57C9C">
              <w:rPr>
                <w:rFonts w:ascii="Times New Roman" w:eastAsia="Times New Roman" w:hAnsi="Times New Roman" w:cs="Times New Roman"/>
                <w:color w:val="000000"/>
                <w:sz w:val="20"/>
                <w:szCs w:val="20"/>
                <w:lang w:eastAsia="en-GB"/>
              </w:rPr>
              <w:t>192.401.969.872</w:t>
            </w:r>
          </w:p>
        </w:tc>
      </w:tr>
      <w:tr w:rsidR="00EB723A" w:rsidRPr="00D57C9C" w:rsidTr="007751C8">
        <w:trPr>
          <w:trHeight w:val="246"/>
        </w:trPr>
        <w:tc>
          <w:tcPr>
            <w:tcW w:w="3348" w:type="dxa"/>
            <w:hideMark/>
          </w:tcPr>
          <w:p w:rsidR="00EB723A" w:rsidRPr="00D57C9C" w:rsidRDefault="00EB723A"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EB723A" w:rsidRPr="00D57C9C" w:rsidRDefault="007037E0" w:rsidP="003C2984">
            <w:pPr>
              <w:jc w:val="right"/>
              <w:rPr>
                <w:rFonts w:ascii="Times New Roman" w:hAnsi="Times New Roman" w:cs="Times New Roman"/>
                <w:color w:val="000000"/>
                <w:sz w:val="20"/>
                <w:szCs w:val="20"/>
              </w:rPr>
            </w:pPr>
            <w:r w:rsidRPr="00D57C9C">
              <w:rPr>
                <w:rFonts w:ascii="Times New Roman" w:eastAsia="Times New Roman" w:hAnsi="Times New Roman" w:cs="Times New Roman"/>
                <w:color w:val="000000"/>
                <w:sz w:val="20"/>
                <w:szCs w:val="20"/>
                <w:lang w:eastAsia="en-GB"/>
              </w:rPr>
              <w:t>77.108.436.281</w:t>
            </w:r>
          </w:p>
        </w:tc>
        <w:tc>
          <w:tcPr>
            <w:tcW w:w="1952" w:type="dxa"/>
            <w:tcBorders>
              <w:bottom w:val="single" w:sz="4" w:space="0" w:color="auto"/>
            </w:tcBorders>
            <w:hideMark/>
          </w:tcPr>
          <w:p w:rsidR="00EB723A" w:rsidRPr="00D57C9C" w:rsidRDefault="00091694" w:rsidP="003C2984">
            <w:pPr>
              <w:jc w:val="right"/>
              <w:rPr>
                <w:rFonts w:ascii="Times New Roman" w:hAnsi="Times New Roman" w:cs="Times New Roman"/>
                <w:color w:val="000000"/>
                <w:sz w:val="20"/>
                <w:szCs w:val="20"/>
                <w:highlight w:val="yellow"/>
              </w:rPr>
            </w:pPr>
            <w:r w:rsidRPr="00D57C9C">
              <w:rPr>
                <w:rFonts w:ascii="Times New Roman" w:eastAsia="Times New Roman" w:hAnsi="Times New Roman" w:cs="Times New Roman"/>
                <w:color w:val="000000"/>
                <w:sz w:val="20"/>
                <w:szCs w:val="20"/>
                <w:lang w:eastAsia="en-GB"/>
              </w:rPr>
              <w:t>41.073.918.591</w:t>
            </w:r>
          </w:p>
        </w:tc>
        <w:tc>
          <w:tcPr>
            <w:tcW w:w="2164" w:type="dxa"/>
            <w:tcBorders>
              <w:bottom w:val="single" w:sz="4" w:space="0" w:color="auto"/>
            </w:tcBorders>
            <w:noWrap/>
            <w:hideMark/>
          </w:tcPr>
          <w:p w:rsidR="00EB723A" w:rsidRPr="00D57C9C" w:rsidRDefault="007037E0" w:rsidP="003C2984">
            <w:pPr>
              <w:jc w:val="right"/>
              <w:rPr>
                <w:rFonts w:ascii="Times New Roman" w:hAnsi="Times New Roman" w:cs="Times New Roman"/>
                <w:color w:val="000000"/>
                <w:sz w:val="20"/>
                <w:szCs w:val="20"/>
                <w:highlight w:val="yellow"/>
              </w:rPr>
            </w:pPr>
            <w:r w:rsidRPr="00D57C9C">
              <w:rPr>
                <w:rFonts w:ascii="Times New Roman" w:eastAsia="Times New Roman" w:hAnsi="Times New Roman" w:cs="Times New Roman"/>
                <w:color w:val="000000"/>
                <w:sz w:val="20"/>
                <w:szCs w:val="20"/>
                <w:lang w:eastAsia="en-GB"/>
              </w:rPr>
              <w:t>118</w:t>
            </w:r>
            <w:r w:rsidR="001A1B16" w:rsidRPr="00D57C9C">
              <w:rPr>
                <w:rFonts w:ascii="Times New Roman" w:eastAsia="Times New Roman" w:hAnsi="Times New Roman" w:cs="Times New Roman"/>
                <w:color w:val="000000"/>
                <w:sz w:val="20"/>
                <w:szCs w:val="20"/>
                <w:lang w:eastAsia="en-GB"/>
              </w:rPr>
              <w:t>.</w:t>
            </w:r>
            <w:r w:rsidRPr="00D57C9C">
              <w:rPr>
                <w:rFonts w:ascii="Times New Roman" w:eastAsia="Times New Roman" w:hAnsi="Times New Roman" w:cs="Times New Roman"/>
                <w:color w:val="000000"/>
                <w:sz w:val="20"/>
                <w:szCs w:val="20"/>
                <w:lang w:eastAsia="en-GB"/>
              </w:rPr>
              <w:t>182</w:t>
            </w:r>
            <w:r w:rsidR="001A1B16" w:rsidRPr="00D57C9C">
              <w:rPr>
                <w:rFonts w:ascii="Times New Roman" w:eastAsia="Times New Roman" w:hAnsi="Times New Roman" w:cs="Times New Roman"/>
                <w:color w:val="000000"/>
                <w:sz w:val="20"/>
                <w:szCs w:val="20"/>
                <w:lang w:eastAsia="en-GB"/>
              </w:rPr>
              <w:t>.</w:t>
            </w:r>
            <w:r w:rsidRPr="00D57C9C">
              <w:rPr>
                <w:rFonts w:ascii="Times New Roman" w:eastAsia="Times New Roman" w:hAnsi="Times New Roman" w:cs="Times New Roman"/>
                <w:color w:val="000000"/>
                <w:sz w:val="20"/>
                <w:szCs w:val="20"/>
                <w:lang w:eastAsia="en-GB"/>
              </w:rPr>
              <w:t>354</w:t>
            </w:r>
            <w:r w:rsidR="001A1B16" w:rsidRPr="00D57C9C">
              <w:rPr>
                <w:rFonts w:ascii="Times New Roman" w:eastAsia="Times New Roman" w:hAnsi="Times New Roman" w:cs="Times New Roman"/>
                <w:color w:val="000000"/>
                <w:sz w:val="20"/>
                <w:szCs w:val="20"/>
                <w:lang w:eastAsia="en-GB"/>
              </w:rPr>
              <w:t>.</w:t>
            </w:r>
            <w:r w:rsidRPr="00D57C9C">
              <w:rPr>
                <w:rFonts w:ascii="Times New Roman" w:eastAsia="Times New Roman" w:hAnsi="Times New Roman" w:cs="Times New Roman"/>
                <w:color w:val="000000"/>
                <w:sz w:val="20"/>
                <w:szCs w:val="20"/>
                <w:lang w:eastAsia="en-GB"/>
              </w:rPr>
              <w:t>87</w:t>
            </w:r>
            <w:r w:rsidR="005C1AA0" w:rsidRPr="00D57C9C">
              <w:rPr>
                <w:rFonts w:ascii="Times New Roman" w:eastAsia="Times New Roman" w:hAnsi="Times New Roman" w:cs="Times New Roman"/>
                <w:color w:val="000000"/>
                <w:sz w:val="20"/>
                <w:szCs w:val="20"/>
                <w:lang w:eastAsia="en-GB"/>
              </w:rPr>
              <w:t>2</w:t>
            </w:r>
          </w:p>
        </w:tc>
      </w:tr>
      <w:tr w:rsidR="00EB723A" w:rsidRPr="00D57C9C" w:rsidTr="007751C8">
        <w:trPr>
          <w:trHeight w:val="246"/>
        </w:trPr>
        <w:tc>
          <w:tcPr>
            <w:tcW w:w="3348" w:type="dxa"/>
            <w:hideMark/>
          </w:tcPr>
          <w:p w:rsidR="00EB723A" w:rsidRPr="00D57C9C" w:rsidRDefault="00EB723A" w:rsidP="00DB3A93">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EB723A" w:rsidRPr="00D57C9C" w:rsidRDefault="007037E0" w:rsidP="003C2984">
            <w:pPr>
              <w:jc w:val="right"/>
              <w:rPr>
                <w:rFonts w:ascii="Times New Roman" w:hAnsi="Times New Roman" w:cs="Times New Roman"/>
                <w:b/>
                <w:bCs/>
                <w:color w:val="000000"/>
                <w:sz w:val="20"/>
                <w:szCs w:val="20"/>
              </w:rPr>
            </w:pPr>
            <w:r w:rsidRPr="00D57C9C">
              <w:rPr>
                <w:rFonts w:ascii="Times New Roman" w:eastAsia="Times New Roman" w:hAnsi="Times New Roman" w:cs="Times New Roman"/>
                <w:b/>
                <w:bCs/>
                <w:color w:val="000000"/>
                <w:sz w:val="20"/>
                <w:szCs w:val="20"/>
                <w:lang w:eastAsia="en-GB"/>
              </w:rPr>
              <w:t>258.855.445.895</w:t>
            </w:r>
          </w:p>
        </w:tc>
        <w:tc>
          <w:tcPr>
            <w:tcW w:w="1952" w:type="dxa"/>
            <w:tcBorders>
              <w:top w:val="single" w:sz="4" w:space="0" w:color="auto"/>
              <w:bottom w:val="single" w:sz="4" w:space="0" w:color="auto"/>
            </w:tcBorders>
            <w:hideMark/>
          </w:tcPr>
          <w:p w:rsidR="00EB723A" w:rsidRPr="00D57C9C" w:rsidRDefault="00991EB3" w:rsidP="003C2984">
            <w:pPr>
              <w:jc w:val="right"/>
              <w:rPr>
                <w:rFonts w:ascii="Times New Roman" w:hAnsi="Times New Roman" w:cs="Times New Roman"/>
                <w:b/>
                <w:bCs/>
                <w:color w:val="000000"/>
                <w:sz w:val="20"/>
                <w:szCs w:val="20"/>
                <w:highlight w:val="yellow"/>
              </w:rPr>
            </w:pPr>
            <w:r w:rsidRPr="00D57C9C">
              <w:rPr>
                <w:rFonts w:ascii="Times New Roman" w:eastAsia="Times New Roman" w:hAnsi="Times New Roman" w:cs="Times New Roman"/>
                <w:b/>
                <w:bCs/>
                <w:color w:val="000000"/>
                <w:sz w:val="20"/>
                <w:szCs w:val="20"/>
                <w:lang w:eastAsia="en-GB"/>
              </w:rPr>
              <w:t>51.728.878.849</w:t>
            </w:r>
          </w:p>
        </w:tc>
        <w:tc>
          <w:tcPr>
            <w:tcW w:w="2164" w:type="dxa"/>
            <w:tcBorders>
              <w:top w:val="single" w:sz="4" w:space="0" w:color="auto"/>
              <w:bottom w:val="single" w:sz="4" w:space="0" w:color="auto"/>
            </w:tcBorders>
            <w:hideMark/>
          </w:tcPr>
          <w:p w:rsidR="00EB723A" w:rsidRPr="00D57C9C" w:rsidRDefault="00AE3727" w:rsidP="003C2984">
            <w:pPr>
              <w:jc w:val="right"/>
              <w:rPr>
                <w:rFonts w:ascii="Times New Roman" w:hAnsi="Times New Roman" w:cs="Times New Roman"/>
                <w:b/>
                <w:bCs/>
                <w:color w:val="000000"/>
                <w:sz w:val="20"/>
                <w:szCs w:val="20"/>
                <w:highlight w:val="yellow"/>
              </w:rPr>
            </w:pPr>
            <w:r w:rsidRPr="00D57C9C">
              <w:rPr>
                <w:rFonts w:ascii="Times New Roman" w:eastAsia="Times New Roman" w:hAnsi="Times New Roman" w:cs="Times New Roman"/>
                <w:b/>
                <w:bCs/>
                <w:color w:val="000000"/>
                <w:sz w:val="20"/>
                <w:szCs w:val="20"/>
                <w:lang w:eastAsia="en-GB"/>
              </w:rPr>
              <w:t>310.584.324.744</w:t>
            </w:r>
          </w:p>
        </w:tc>
      </w:tr>
      <w:bookmarkEnd w:id="0"/>
    </w:tbl>
    <w:p w:rsidR="00E714AD" w:rsidRDefault="00E714AD"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9761A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82F18" w:rsidRPr="00D57C9C" w:rsidRDefault="00CF4E99" w:rsidP="009761A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Lãi</w:t>
      </w:r>
      <w:r w:rsidR="00893CD1" w:rsidRPr="00D57C9C">
        <w:rPr>
          <w:rFonts w:ascii="Times New Roman" w:hAnsi="Times New Roman" w:cs="Times New Roman"/>
          <w:b/>
          <w:sz w:val="20"/>
          <w:szCs w:val="20"/>
          <w:lang w:val="vi-VN"/>
        </w:rPr>
        <w:t xml:space="preserve"> bán các khoản đầu tư</w:t>
      </w:r>
    </w:p>
    <w:tbl>
      <w:tblPr>
        <w:tblW w:w="9963" w:type="dxa"/>
        <w:tblInd w:w="-162" w:type="dxa"/>
        <w:tblLook w:val="04A0"/>
      </w:tblPr>
      <w:tblGrid>
        <w:gridCol w:w="3578"/>
        <w:gridCol w:w="2202"/>
        <w:gridCol w:w="2032"/>
        <w:gridCol w:w="2151"/>
      </w:tblGrid>
      <w:tr w:rsidR="00982F18" w:rsidRPr="00D57C9C" w:rsidTr="001624A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2151" w:type="dxa"/>
            <w:tcBorders>
              <w:top w:val="nil"/>
              <w:left w:val="nil"/>
              <w:bottom w:val="nil"/>
              <w:right w:val="nil"/>
            </w:tcBorders>
            <w:shd w:val="clear" w:color="auto" w:fill="auto"/>
            <w:vAlign w:val="center"/>
            <w:hideMark/>
          </w:tcPr>
          <w:p w:rsidR="00982F18" w:rsidRPr="00D57C9C" w:rsidRDefault="00E86CFA" w:rsidP="003C2984">
            <w:pPr>
              <w:spacing w:after="0" w:line="240" w:lineRule="auto"/>
              <w:jc w:val="right"/>
              <w:rPr>
                <w:rFonts w:ascii="Times New Roman" w:eastAsia="Times New Roman" w:hAnsi="Times New Roman" w:cs="Times New Roman"/>
                <w:b/>
                <w:bCs/>
                <w:color w:val="000000" w:themeColor="text1"/>
                <w:sz w:val="20"/>
                <w:szCs w:val="20"/>
                <w:lang w:val="vi-VN" w:eastAsia="en-GB"/>
              </w:rPr>
            </w:pPr>
            <w:r w:rsidRPr="00D57C9C">
              <w:rPr>
                <w:rFonts w:ascii="Times New Roman" w:eastAsia="Times New Roman" w:hAnsi="Times New Roman" w:cs="Times New Roman"/>
                <w:b/>
                <w:bCs/>
                <w:color w:val="000000" w:themeColor="text1"/>
                <w:sz w:val="20"/>
                <w:szCs w:val="20"/>
                <w:lang w:val="vi-VN" w:eastAsia="en-GB"/>
              </w:rPr>
              <w:t>Lãi 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4D0068" w:rsidRPr="00D57C9C">
              <w:rPr>
                <w:rFonts w:ascii="Times New Roman" w:eastAsia="Times New Roman" w:hAnsi="Times New Roman" w:cs="Times New Roman"/>
                <w:b/>
                <w:bCs/>
                <w:color w:val="000000" w:themeColor="text1"/>
                <w:sz w:val="20"/>
                <w:szCs w:val="20"/>
                <w:lang w:eastAsia="en-GB"/>
              </w:rPr>
              <w:t>0</w:t>
            </w:r>
            <w:r w:rsidR="00D7706D" w:rsidRPr="00D57C9C">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4D0068" w:rsidRPr="00D57C9C">
              <w:rPr>
                <w:rFonts w:ascii="Times New Roman" w:eastAsia="Times New Roman" w:hAnsi="Times New Roman" w:cs="Times New Roman"/>
                <w:b/>
                <w:bCs/>
                <w:color w:val="000000" w:themeColor="text1"/>
                <w:sz w:val="20"/>
                <w:szCs w:val="20"/>
                <w:lang w:eastAsia="en-GB"/>
              </w:rPr>
              <w:t>0</w:t>
            </w:r>
            <w:r w:rsidR="0095663D" w:rsidRPr="00D57C9C">
              <w:rPr>
                <w:rFonts w:ascii="Times New Roman" w:eastAsia="Times New Roman" w:hAnsi="Times New Roman" w:cs="Times New Roman"/>
                <w:b/>
                <w:bCs/>
                <w:color w:val="000000" w:themeColor="text1"/>
                <w:sz w:val="20"/>
                <w:szCs w:val="20"/>
                <w:lang w:eastAsia="en-GB"/>
              </w:rPr>
              <w:t>7</w:t>
            </w:r>
            <w:r w:rsidR="00E94410" w:rsidRPr="00D57C9C">
              <w:rPr>
                <w:rFonts w:ascii="Times New Roman" w:eastAsia="Times New Roman" w:hAnsi="Times New Roman" w:cs="Times New Roman"/>
                <w:b/>
                <w:bCs/>
                <w:color w:val="000000" w:themeColor="text1"/>
                <w:sz w:val="20"/>
                <w:szCs w:val="20"/>
                <w:lang w:val="vi-VN" w:eastAsia="en-GB"/>
              </w:rPr>
              <w:t>/201</w:t>
            </w:r>
            <w:r w:rsidR="004D0068" w:rsidRPr="00D57C9C">
              <w:rPr>
                <w:rFonts w:ascii="Times New Roman" w:eastAsia="Times New Roman" w:hAnsi="Times New Roman" w:cs="Times New Roman"/>
                <w:b/>
                <w:bCs/>
                <w:color w:val="000000" w:themeColor="text1"/>
                <w:sz w:val="20"/>
                <w:szCs w:val="20"/>
                <w:lang w:eastAsia="en-GB"/>
              </w:rPr>
              <w:t>8</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255A60" w:rsidRPr="00D57C9C">
              <w:rPr>
                <w:rFonts w:ascii="Times New Roman" w:eastAsia="Times New Roman" w:hAnsi="Times New Roman" w:cs="Times New Roman"/>
                <w:b/>
                <w:bCs/>
                <w:color w:val="000000" w:themeColor="text1"/>
                <w:sz w:val="20"/>
                <w:szCs w:val="20"/>
                <w:lang w:eastAsia="en-GB"/>
              </w:rPr>
              <w:t>0</w:t>
            </w:r>
            <w:r w:rsidR="00E94410" w:rsidRPr="00D57C9C">
              <w:rPr>
                <w:rFonts w:ascii="Times New Roman" w:eastAsia="Times New Roman" w:hAnsi="Times New Roman" w:cs="Times New Roman"/>
                <w:b/>
                <w:bCs/>
                <w:color w:val="000000" w:themeColor="text1"/>
                <w:sz w:val="20"/>
                <w:szCs w:val="20"/>
                <w:lang w:val="vi-VN" w:eastAsia="en-GB"/>
              </w:rPr>
              <w:t>/</w:t>
            </w:r>
            <w:r w:rsidR="00D7706D" w:rsidRPr="00D57C9C">
              <w:rPr>
                <w:rFonts w:ascii="Times New Roman" w:eastAsia="Times New Roman" w:hAnsi="Times New Roman" w:cs="Times New Roman"/>
                <w:b/>
                <w:bCs/>
                <w:color w:val="000000" w:themeColor="text1"/>
                <w:sz w:val="20"/>
                <w:szCs w:val="20"/>
                <w:lang w:eastAsia="en-GB"/>
              </w:rPr>
              <w:t>0</w:t>
            </w:r>
            <w:r w:rsidR="0095663D" w:rsidRPr="00D57C9C">
              <w:rPr>
                <w:rFonts w:ascii="Times New Roman" w:eastAsia="Times New Roman" w:hAnsi="Times New Roman" w:cs="Times New Roman"/>
                <w:b/>
                <w:bCs/>
                <w:color w:val="000000" w:themeColor="text1"/>
                <w:sz w:val="20"/>
                <w:szCs w:val="20"/>
                <w:lang w:eastAsia="en-GB"/>
              </w:rPr>
              <w:t>9</w:t>
            </w:r>
            <w:r w:rsidR="00982F18" w:rsidRPr="00D57C9C">
              <w:rPr>
                <w:rFonts w:ascii="Times New Roman" w:eastAsia="Times New Roman" w:hAnsi="Times New Roman" w:cs="Times New Roman"/>
                <w:b/>
                <w:bCs/>
                <w:color w:val="000000" w:themeColor="text1"/>
                <w:sz w:val="20"/>
                <w:szCs w:val="20"/>
                <w:lang w:val="vi-VN" w:eastAsia="en-GB"/>
              </w:rPr>
              <w:t>/201</w:t>
            </w:r>
            <w:r w:rsidR="00D7706D" w:rsidRPr="00D57C9C">
              <w:rPr>
                <w:rFonts w:ascii="Times New Roman" w:eastAsia="Times New Roman" w:hAnsi="Times New Roman" w:cs="Times New Roman"/>
                <w:b/>
                <w:bCs/>
                <w:color w:val="000000" w:themeColor="text1"/>
                <w:sz w:val="20"/>
                <w:szCs w:val="20"/>
                <w:lang w:eastAsia="en-GB"/>
              </w:rPr>
              <w:t>8</w:t>
            </w:r>
          </w:p>
        </w:tc>
      </w:tr>
      <w:tr w:rsidR="00982F18" w:rsidRPr="00D57C9C" w:rsidTr="001624A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51"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94410" w:rsidRPr="00D57C9C" w:rsidTr="001624AE">
        <w:trPr>
          <w:trHeight w:val="193"/>
        </w:trPr>
        <w:tc>
          <w:tcPr>
            <w:tcW w:w="3578" w:type="dxa"/>
            <w:tcBorders>
              <w:top w:val="nil"/>
              <w:left w:val="nil"/>
              <w:bottom w:val="nil"/>
              <w:right w:val="nil"/>
            </w:tcBorders>
            <w:shd w:val="clear" w:color="auto" w:fill="auto"/>
            <w:vAlign w:val="center"/>
            <w:hideMark/>
          </w:tcPr>
          <w:p w:rsidR="00E94410" w:rsidRPr="008146AB" w:rsidRDefault="00E94410" w:rsidP="00DB3A93">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tbl>
            <w:tblPr>
              <w:tblW w:w="1979" w:type="dxa"/>
              <w:tblInd w:w="4" w:type="dxa"/>
              <w:tblLook w:val="04A0"/>
            </w:tblPr>
            <w:tblGrid>
              <w:gridCol w:w="1979"/>
            </w:tblGrid>
            <w:tr w:rsidR="00F765B9" w:rsidRPr="008146AB" w:rsidTr="001624AE">
              <w:trPr>
                <w:trHeight w:val="209"/>
              </w:trPr>
              <w:tc>
                <w:tcPr>
                  <w:tcW w:w="1979" w:type="dxa"/>
                  <w:tcBorders>
                    <w:top w:val="nil"/>
                    <w:left w:val="nil"/>
                    <w:bottom w:val="nil"/>
                    <w:right w:val="nil"/>
                  </w:tcBorders>
                  <w:shd w:val="clear" w:color="auto" w:fill="auto"/>
                  <w:noWrap/>
                  <w:vAlign w:val="bottom"/>
                  <w:hideMark/>
                </w:tcPr>
                <w:p w:rsidR="00F765B9" w:rsidRPr="008146AB" w:rsidRDefault="0045223A" w:rsidP="00AA616E">
                  <w:pPr>
                    <w:spacing w:after="0" w:line="240" w:lineRule="auto"/>
                    <w:jc w:val="right"/>
                    <w:rPr>
                      <w:rFonts w:ascii="Times New Roman" w:eastAsia="Times New Roman" w:hAnsi="Times New Roman" w:cs="Times New Roman"/>
                      <w:sz w:val="20"/>
                      <w:szCs w:val="20"/>
                      <w:lang w:val="en-GB" w:eastAsia="en-GB"/>
                    </w:rPr>
                  </w:pPr>
                  <w:r w:rsidRPr="008146AB">
                    <w:rPr>
                      <w:rFonts w:ascii="Times New Roman" w:eastAsia="Times New Roman" w:hAnsi="Times New Roman" w:cs="Times New Roman"/>
                      <w:sz w:val="20"/>
                      <w:szCs w:val="20"/>
                      <w:lang w:val="en-GB" w:eastAsia="en-GB"/>
                    </w:rPr>
                    <w:t>229.194.593.060</w:t>
                  </w:r>
                </w:p>
              </w:tc>
            </w:tr>
            <w:tr w:rsidR="00F765B9" w:rsidRPr="008146AB" w:rsidTr="001624AE">
              <w:trPr>
                <w:trHeight w:val="209"/>
              </w:trPr>
              <w:tc>
                <w:tcPr>
                  <w:tcW w:w="1979" w:type="dxa"/>
                  <w:tcBorders>
                    <w:top w:val="nil"/>
                    <w:left w:val="nil"/>
                    <w:bottom w:val="nil"/>
                    <w:right w:val="nil"/>
                  </w:tcBorders>
                  <w:shd w:val="clear" w:color="auto" w:fill="auto"/>
                  <w:noWrap/>
                  <w:vAlign w:val="bottom"/>
                  <w:hideMark/>
                </w:tcPr>
                <w:p w:rsidR="00F765B9" w:rsidRPr="008146AB" w:rsidRDefault="00F765B9" w:rsidP="00AA616E">
                  <w:pPr>
                    <w:spacing w:after="0" w:line="240" w:lineRule="auto"/>
                    <w:jc w:val="right"/>
                    <w:rPr>
                      <w:rFonts w:ascii="Times New Roman" w:eastAsia="Times New Roman" w:hAnsi="Times New Roman" w:cs="Times New Roman"/>
                      <w:sz w:val="20"/>
                      <w:szCs w:val="20"/>
                      <w:lang w:val="en-GB" w:eastAsia="en-GB"/>
                    </w:rPr>
                  </w:pPr>
                </w:p>
              </w:tc>
            </w:tr>
          </w:tbl>
          <w:p w:rsidR="00E94410" w:rsidRPr="008146AB" w:rsidRDefault="00E94410" w:rsidP="00AA616E">
            <w:pPr>
              <w:jc w:val="right"/>
              <w:rPr>
                <w:rFonts w:ascii="Times New Roman" w:hAnsi="Times New Roman" w:cs="Times New Roman"/>
                <w:sz w:val="20"/>
                <w:szCs w:val="20"/>
              </w:rPr>
            </w:pPr>
          </w:p>
        </w:tc>
        <w:tc>
          <w:tcPr>
            <w:tcW w:w="2032" w:type="dxa"/>
            <w:tcBorders>
              <w:top w:val="nil"/>
              <w:left w:val="nil"/>
              <w:right w:val="nil"/>
            </w:tcBorders>
            <w:shd w:val="clear" w:color="auto" w:fill="auto"/>
            <w:vAlign w:val="center"/>
            <w:hideMark/>
          </w:tcPr>
          <w:p w:rsidR="00E94410" w:rsidRPr="008146AB" w:rsidRDefault="008146AB" w:rsidP="00AA616E">
            <w:pPr>
              <w:jc w:val="right"/>
              <w:rPr>
                <w:rFonts w:ascii="Times New Roman" w:hAnsi="Times New Roman" w:cs="Times New Roman"/>
                <w:sz w:val="20"/>
                <w:szCs w:val="20"/>
              </w:rPr>
            </w:pPr>
            <w:r w:rsidRPr="008146AB">
              <w:rPr>
                <w:rFonts w:ascii="Times New Roman" w:eastAsia="Times New Roman" w:hAnsi="Times New Roman" w:cs="Times New Roman"/>
                <w:sz w:val="20"/>
                <w:szCs w:val="20"/>
                <w:lang w:eastAsia="en-GB"/>
              </w:rPr>
              <w:t>222.116.063.191</w:t>
            </w:r>
          </w:p>
        </w:tc>
        <w:tc>
          <w:tcPr>
            <w:tcW w:w="2151" w:type="dxa"/>
            <w:tcBorders>
              <w:top w:val="nil"/>
              <w:left w:val="nil"/>
              <w:right w:val="nil"/>
            </w:tcBorders>
            <w:shd w:val="clear" w:color="auto" w:fill="auto"/>
            <w:noWrap/>
            <w:vAlign w:val="center"/>
            <w:hideMark/>
          </w:tcPr>
          <w:p w:rsidR="00E94410" w:rsidRPr="008146AB" w:rsidRDefault="008146AB" w:rsidP="00AA616E">
            <w:pPr>
              <w:jc w:val="right"/>
              <w:rPr>
                <w:rFonts w:ascii="Times New Roman" w:hAnsi="Times New Roman" w:cs="Times New Roman"/>
                <w:sz w:val="20"/>
                <w:szCs w:val="20"/>
              </w:rPr>
            </w:pPr>
            <w:r w:rsidRPr="008146AB">
              <w:rPr>
                <w:rFonts w:ascii="Times New Roman" w:eastAsia="Times New Roman" w:hAnsi="Times New Roman" w:cs="Times New Roman"/>
                <w:sz w:val="20"/>
                <w:szCs w:val="20"/>
                <w:lang w:eastAsia="en-GB"/>
              </w:rPr>
              <w:t>7.078.529.869</w:t>
            </w:r>
          </w:p>
        </w:tc>
      </w:tr>
      <w:tr w:rsidR="00671561" w:rsidRPr="00D57C9C" w:rsidTr="001624AE">
        <w:trPr>
          <w:trHeight w:val="193"/>
        </w:trPr>
        <w:tc>
          <w:tcPr>
            <w:tcW w:w="3578" w:type="dxa"/>
            <w:tcBorders>
              <w:top w:val="nil"/>
              <w:left w:val="nil"/>
              <w:bottom w:val="nil"/>
              <w:right w:val="nil"/>
            </w:tcBorders>
            <w:shd w:val="clear" w:color="auto" w:fill="auto"/>
            <w:vAlign w:val="center"/>
            <w:hideMark/>
          </w:tcPr>
          <w:p w:rsidR="00671561" w:rsidRPr="008146AB" w:rsidRDefault="00671561" w:rsidP="00DB3A93">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 xml:space="preserve">Cổ phiếu </w:t>
            </w:r>
            <w:r w:rsidRPr="008146AB">
              <w:rPr>
                <w:rFonts w:ascii="Times New Roman" w:eastAsia="Times New Roman" w:hAnsi="Times New Roman" w:cs="Times New Roman"/>
                <w:sz w:val="20"/>
                <w:szCs w:val="20"/>
                <w:lang w:eastAsia="en-GB"/>
              </w:rPr>
              <w:t xml:space="preserve">chưa </w:t>
            </w:r>
            <w:r w:rsidRPr="008146AB">
              <w:rPr>
                <w:rFonts w:ascii="Times New Roman" w:eastAsia="Times New Roman" w:hAnsi="Times New Roman" w:cs="Times New Roman"/>
                <w:sz w:val="20"/>
                <w:szCs w:val="20"/>
                <w:lang w:val="vi-VN" w:eastAsia="en-GB"/>
              </w:rPr>
              <w:t>niêm yết</w:t>
            </w:r>
          </w:p>
        </w:tc>
        <w:tc>
          <w:tcPr>
            <w:tcW w:w="2202" w:type="dxa"/>
            <w:tcBorders>
              <w:top w:val="nil"/>
              <w:left w:val="nil"/>
              <w:right w:val="nil"/>
            </w:tcBorders>
            <w:shd w:val="clear" w:color="auto" w:fill="auto"/>
            <w:vAlign w:val="center"/>
            <w:hideMark/>
          </w:tcPr>
          <w:tbl>
            <w:tblPr>
              <w:tblW w:w="1979" w:type="dxa"/>
              <w:tblInd w:w="4" w:type="dxa"/>
              <w:tblLook w:val="04A0"/>
            </w:tblPr>
            <w:tblGrid>
              <w:gridCol w:w="1979"/>
            </w:tblGrid>
            <w:tr w:rsidR="00671561" w:rsidRPr="008146AB" w:rsidTr="001624AE">
              <w:trPr>
                <w:trHeight w:val="209"/>
              </w:trPr>
              <w:tc>
                <w:tcPr>
                  <w:tcW w:w="1979" w:type="dxa"/>
                  <w:tcBorders>
                    <w:top w:val="nil"/>
                    <w:left w:val="nil"/>
                    <w:bottom w:val="nil"/>
                    <w:right w:val="nil"/>
                  </w:tcBorders>
                  <w:shd w:val="clear" w:color="auto" w:fill="auto"/>
                  <w:noWrap/>
                  <w:vAlign w:val="bottom"/>
                  <w:hideMark/>
                </w:tcPr>
                <w:p w:rsidR="00671561" w:rsidRPr="008146AB" w:rsidRDefault="00671561" w:rsidP="00AA616E">
                  <w:pPr>
                    <w:spacing w:after="0" w:line="240" w:lineRule="auto"/>
                    <w:jc w:val="right"/>
                    <w:rPr>
                      <w:rFonts w:ascii="Times New Roman" w:eastAsia="Times New Roman" w:hAnsi="Times New Roman" w:cs="Times New Roman"/>
                      <w:sz w:val="20"/>
                      <w:szCs w:val="20"/>
                      <w:lang w:val="en-GB" w:eastAsia="en-GB"/>
                    </w:rPr>
                  </w:pPr>
                  <w:r w:rsidRPr="008146AB">
                    <w:rPr>
                      <w:rFonts w:ascii="Times New Roman" w:eastAsia="Times New Roman" w:hAnsi="Times New Roman" w:cs="Times New Roman"/>
                      <w:sz w:val="20"/>
                      <w:szCs w:val="20"/>
                      <w:lang w:val="en-GB" w:eastAsia="en-GB"/>
                    </w:rPr>
                    <w:t>35.700.000.000</w:t>
                  </w:r>
                </w:p>
              </w:tc>
            </w:tr>
            <w:tr w:rsidR="00671561" w:rsidRPr="008146AB" w:rsidTr="001624AE">
              <w:trPr>
                <w:trHeight w:val="209"/>
              </w:trPr>
              <w:tc>
                <w:tcPr>
                  <w:tcW w:w="1979" w:type="dxa"/>
                  <w:tcBorders>
                    <w:top w:val="nil"/>
                    <w:left w:val="nil"/>
                    <w:bottom w:val="nil"/>
                    <w:right w:val="nil"/>
                  </w:tcBorders>
                  <w:shd w:val="clear" w:color="auto" w:fill="auto"/>
                  <w:noWrap/>
                  <w:vAlign w:val="bottom"/>
                  <w:hideMark/>
                </w:tcPr>
                <w:p w:rsidR="00671561" w:rsidRPr="008146AB" w:rsidRDefault="00671561" w:rsidP="00AA616E">
                  <w:pPr>
                    <w:spacing w:after="0" w:line="240" w:lineRule="auto"/>
                    <w:jc w:val="right"/>
                    <w:rPr>
                      <w:rFonts w:ascii="Times New Roman" w:eastAsia="Times New Roman" w:hAnsi="Times New Roman" w:cs="Times New Roman"/>
                      <w:sz w:val="20"/>
                      <w:szCs w:val="20"/>
                      <w:lang w:val="en-GB" w:eastAsia="en-GB"/>
                    </w:rPr>
                  </w:pPr>
                </w:p>
              </w:tc>
            </w:tr>
          </w:tbl>
          <w:p w:rsidR="00671561" w:rsidRPr="008146AB" w:rsidRDefault="00671561" w:rsidP="00AA616E">
            <w:pPr>
              <w:jc w:val="right"/>
              <w:rPr>
                <w:rFonts w:ascii="Times New Roman" w:hAnsi="Times New Roman" w:cs="Times New Roman"/>
                <w:sz w:val="20"/>
                <w:szCs w:val="20"/>
              </w:rPr>
            </w:pPr>
          </w:p>
        </w:tc>
        <w:tc>
          <w:tcPr>
            <w:tcW w:w="2032" w:type="dxa"/>
            <w:tcBorders>
              <w:top w:val="nil"/>
              <w:left w:val="nil"/>
              <w:right w:val="nil"/>
            </w:tcBorders>
            <w:shd w:val="clear" w:color="auto" w:fill="auto"/>
            <w:vAlign w:val="center"/>
            <w:hideMark/>
          </w:tcPr>
          <w:p w:rsidR="00671561" w:rsidRPr="008146AB" w:rsidRDefault="00671561" w:rsidP="00AA616E">
            <w:pPr>
              <w:jc w:val="right"/>
              <w:rPr>
                <w:rFonts w:ascii="Times New Roman" w:hAnsi="Times New Roman" w:cs="Times New Roman"/>
                <w:sz w:val="20"/>
                <w:szCs w:val="20"/>
              </w:rPr>
            </w:pPr>
            <w:r w:rsidRPr="008146AB">
              <w:rPr>
                <w:rFonts w:ascii="Times New Roman" w:eastAsia="Times New Roman" w:hAnsi="Times New Roman" w:cs="Times New Roman"/>
                <w:sz w:val="20"/>
                <w:szCs w:val="20"/>
                <w:lang w:eastAsia="en-GB"/>
              </w:rPr>
              <w:t>35.700.000.000</w:t>
            </w:r>
          </w:p>
        </w:tc>
        <w:tc>
          <w:tcPr>
            <w:tcW w:w="2151" w:type="dxa"/>
            <w:tcBorders>
              <w:top w:val="nil"/>
              <w:left w:val="nil"/>
              <w:right w:val="nil"/>
            </w:tcBorders>
            <w:shd w:val="clear" w:color="auto" w:fill="auto"/>
            <w:noWrap/>
            <w:vAlign w:val="center"/>
            <w:hideMark/>
          </w:tcPr>
          <w:p w:rsidR="00671561" w:rsidRPr="008146AB" w:rsidRDefault="00671561" w:rsidP="00AA616E">
            <w:pPr>
              <w:jc w:val="right"/>
              <w:rPr>
                <w:rFonts w:ascii="Times New Roman" w:hAnsi="Times New Roman" w:cs="Times New Roman"/>
                <w:sz w:val="20"/>
                <w:szCs w:val="20"/>
              </w:rPr>
            </w:pPr>
            <w:r w:rsidRPr="008146AB">
              <w:rPr>
                <w:rFonts w:ascii="Times New Roman" w:eastAsia="Times New Roman" w:hAnsi="Times New Roman" w:cs="Times New Roman"/>
                <w:sz w:val="20"/>
                <w:szCs w:val="20"/>
                <w:lang w:eastAsia="en-GB"/>
              </w:rPr>
              <w:t>-</w:t>
            </w:r>
          </w:p>
        </w:tc>
      </w:tr>
      <w:tr w:rsidR="00671561" w:rsidRPr="00D57C9C" w:rsidTr="00CB29B3">
        <w:trPr>
          <w:trHeight w:val="193"/>
        </w:trPr>
        <w:tc>
          <w:tcPr>
            <w:tcW w:w="3578" w:type="dxa"/>
            <w:tcBorders>
              <w:top w:val="nil"/>
              <w:left w:val="nil"/>
              <w:bottom w:val="nil"/>
              <w:right w:val="nil"/>
            </w:tcBorders>
            <w:shd w:val="clear" w:color="auto" w:fill="auto"/>
            <w:vAlign w:val="center"/>
            <w:hideMark/>
          </w:tcPr>
          <w:p w:rsidR="00671561" w:rsidRPr="00D57C9C" w:rsidRDefault="0057648A"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eastAsia="en-GB"/>
              </w:rPr>
              <w:t>Hợp đồng phái sinh</w:t>
            </w:r>
          </w:p>
        </w:tc>
        <w:tc>
          <w:tcPr>
            <w:tcW w:w="2202" w:type="dxa"/>
            <w:tcBorders>
              <w:top w:val="nil"/>
              <w:left w:val="nil"/>
              <w:bottom w:val="single" w:sz="4" w:space="0" w:color="auto"/>
              <w:right w:val="nil"/>
            </w:tcBorders>
            <w:shd w:val="clear" w:color="auto" w:fill="auto"/>
            <w:vAlign w:val="center"/>
            <w:hideMark/>
          </w:tcPr>
          <w:tbl>
            <w:tblPr>
              <w:tblW w:w="1979" w:type="dxa"/>
              <w:tblInd w:w="4" w:type="dxa"/>
              <w:tblLook w:val="04A0"/>
            </w:tblPr>
            <w:tblGrid>
              <w:gridCol w:w="1979"/>
            </w:tblGrid>
            <w:tr w:rsidR="00671561" w:rsidRPr="00D57C9C" w:rsidTr="001624AE">
              <w:trPr>
                <w:trHeight w:val="209"/>
              </w:trPr>
              <w:tc>
                <w:tcPr>
                  <w:tcW w:w="1979" w:type="dxa"/>
                  <w:tcBorders>
                    <w:top w:val="nil"/>
                    <w:left w:val="nil"/>
                    <w:bottom w:val="nil"/>
                    <w:right w:val="nil"/>
                  </w:tcBorders>
                  <w:shd w:val="clear" w:color="auto" w:fill="auto"/>
                  <w:noWrap/>
                  <w:vAlign w:val="bottom"/>
                  <w:hideMark/>
                </w:tcPr>
                <w:p w:rsidR="00671561" w:rsidRPr="00D57C9C" w:rsidRDefault="00671561" w:rsidP="00AA616E">
                  <w:pPr>
                    <w:spacing w:after="0" w:line="240" w:lineRule="auto"/>
                    <w:jc w:val="right"/>
                    <w:rPr>
                      <w:rFonts w:ascii="Times New Roman" w:eastAsia="Times New Roman" w:hAnsi="Times New Roman" w:cs="Times New Roman"/>
                      <w:sz w:val="20"/>
                      <w:szCs w:val="20"/>
                      <w:lang w:val="en-GB" w:eastAsia="en-GB"/>
                    </w:rPr>
                  </w:pPr>
                </w:p>
              </w:tc>
            </w:tr>
            <w:tr w:rsidR="00671561" w:rsidRPr="00D57C9C" w:rsidTr="001624AE">
              <w:trPr>
                <w:trHeight w:val="209"/>
              </w:trPr>
              <w:tc>
                <w:tcPr>
                  <w:tcW w:w="1979" w:type="dxa"/>
                  <w:tcBorders>
                    <w:top w:val="nil"/>
                    <w:left w:val="nil"/>
                    <w:bottom w:val="nil"/>
                    <w:right w:val="nil"/>
                  </w:tcBorders>
                  <w:shd w:val="clear" w:color="auto" w:fill="auto"/>
                  <w:noWrap/>
                  <w:vAlign w:val="bottom"/>
                  <w:hideMark/>
                </w:tcPr>
                <w:p w:rsidR="00671561" w:rsidRPr="00D57C9C" w:rsidRDefault="00671561" w:rsidP="00AA616E">
                  <w:pPr>
                    <w:spacing w:after="0" w:line="240" w:lineRule="auto"/>
                    <w:jc w:val="right"/>
                    <w:rPr>
                      <w:rFonts w:ascii="Times New Roman" w:eastAsia="Times New Roman" w:hAnsi="Times New Roman" w:cs="Times New Roman"/>
                      <w:sz w:val="20"/>
                      <w:szCs w:val="20"/>
                      <w:lang w:val="en-GB" w:eastAsia="en-GB"/>
                    </w:rPr>
                  </w:pPr>
                </w:p>
              </w:tc>
            </w:tr>
          </w:tbl>
          <w:p w:rsidR="00671561" w:rsidRPr="00D57C9C" w:rsidRDefault="00671561" w:rsidP="00AA616E">
            <w:pPr>
              <w:jc w:val="right"/>
              <w:rPr>
                <w:rFonts w:ascii="Times New Roman" w:hAnsi="Times New Roman" w:cs="Times New Roman"/>
                <w:sz w:val="20"/>
                <w:szCs w:val="20"/>
                <w:highlight w:val="yellow"/>
              </w:rPr>
            </w:pPr>
          </w:p>
        </w:tc>
        <w:tc>
          <w:tcPr>
            <w:tcW w:w="2032" w:type="dxa"/>
            <w:tcBorders>
              <w:top w:val="nil"/>
              <w:left w:val="nil"/>
              <w:bottom w:val="single" w:sz="4" w:space="0" w:color="auto"/>
              <w:right w:val="nil"/>
            </w:tcBorders>
            <w:shd w:val="clear" w:color="auto" w:fill="auto"/>
            <w:vAlign w:val="center"/>
            <w:hideMark/>
          </w:tcPr>
          <w:p w:rsidR="00671561" w:rsidRPr="00F07771" w:rsidRDefault="00671561" w:rsidP="00AA616E">
            <w:pPr>
              <w:jc w:val="right"/>
              <w:rPr>
                <w:rFonts w:ascii="Times New Roman" w:hAnsi="Times New Roman" w:cs="Times New Roman"/>
                <w:sz w:val="20"/>
                <w:szCs w:val="20"/>
                <w:highlight w:val="yellow"/>
              </w:rPr>
            </w:pPr>
          </w:p>
        </w:tc>
        <w:tc>
          <w:tcPr>
            <w:tcW w:w="2151" w:type="dxa"/>
            <w:tcBorders>
              <w:top w:val="nil"/>
              <w:left w:val="nil"/>
              <w:bottom w:val="single" w:sz="4" w:space="0" w:color="auto"/>
              <w:right w:val="nil"/>
            </w:tcBorders>
            <w:shd w:val="clear" w:color="auto" w:fill="auto"/>
            <w:noWrap/>
            <w:vAlign w:val="center"/>
            <w:hideMark/>
          </w:tcPr>
          <w:p w:rsidR="00671561" w:rsidRPr="008146AB" w:rsidRDefault="008146AB" w:rsidP="00AA616E">
            <w:pPr>
              <w:jc w:val="right"/>
              <w:rPr>
                <w:rFonts w:ascii="Times New Roman" w:hAnsi="Times New Roman" w:cs="Times New Roman"/>
                <w:sz w:val="20"/>
                <w:szCs w:val="20"/>
                <w:highlight w:val="yellow"/>
              </w:rPr>
            </w:pPr>
            <w:r>
              <w:rPr>
                <w:rFonts w:ascii="Times New Roman" w:hAnsi="Times New Roman" w:cs="Times New Roman"/>
                <w:sz w:val="20"/>
                <w:szCs w:val="20"/>
              </w:rPr>
              <w:t>(</w:t>
            </w:r>
            <w:r w:rsidRPr="008146AB">
              <w:rPr>
                <w:rFonts w:ascii="Times New Roman" w:hAnsi="Times New Roman" w:cs="Times New Roman"/>
                <w:sz w:val="20"/>
                <w:szCs w:val="20"/>
                <w:lang w:val="vi-VN"/>
              </w:rPr>
              <w:t>944</w:t>
            </w:r>
            <w:r>
              <w:rPr>
                <w:rFonts w:ascii="Times New Roman" w:hAnsi="Times New Roman" w:cs="Times New Roman"/>
                <w:sz w:val="20"/>
                <w:szCs w:val="20"/>
              </w:rPr>
              <w:t>.</w:t>
            </w:r>
            <w:r w:rsidRPr="008146AB">
              <w:rPr>
                <w:rFonts w:ascii="Times New Roman" w:hAnsi="Times New Roman" w:cs="Times New Roman"/>
                <w:sz w:val="20"/>
                <w:szCs w:val="20"/>
                <w:lang w:val="vi-VN"/>
              </w:rPr>
              <w:t>770</w:t>
            </w:r>
            <w:r>
              <w:rPr>
                <w:rFonts w:ascii="Times New Roman" w:hAnsi="Times New Roman" w:cs="Times New Roman"/>
                <w:sz w:val="20"/>
                <w:szCs w:val="20"/>
              </w:rPr>
              <w:t>.</w:t>
            </w:r>
            <w:r w:rsidRPr="008146AB">
              <w:rPr>
                <w:rFonts w:ascii="Times New Roman" w:hAnsi="Times New Roman" w:cs="Times New Roman"/>
                <w:sz w:val="20"/>
                <w:szCs w:val="20"/>
                <w:lang w:val="vi-VN"/>
              </w:rPr>
              <w:t>000</w:t>
            </w:r>
            <w:r>
              <w:rPr>
                <w:rFonts w:ascii="Times New Roman" w:hAnsi="Times New Roman" w:cs="Times New Roman"/>
                <w:sz w:val="20"/>
                <w:szCs w:val="20"/>
              </w:rPr>
              <w:t>)</w:t>
            </w:r>
          </w:p>
        </w:tc>
      </w:tr>
      <w:tr w:rsidR="00F765B9" w:rsidRPr="00D57C9C" w:rsidTr="00CB29B3">
        <w:trPr>
          <w:trHeight w:val="193"/>
        </w:trPr>
        <w:tc>
          <w:tcPr>
            <w:tcW w:w="3578" w:type="dxa"/>
            <w:tcBorders>
              <w:top w:val="nil"/>
              <w:left w:val="nil"/>
              <w:bottom w:val="nil"/>
              <w:right w:val="nil"/>
            </w:tcBorders>
            <w:shd w:val="clear" w:color="auto" w:fill="auto"/>
            <w:noWrap/>
            <w:vAlign w:val="center"/>
            <w:hideMark/>
          </w:tcPr>
          <w:p w:rsidR="00F765B9" w:rsidRPr="00D57C9C" w:rsidRDefault="00F765B9" w:rsidP="00DB3A93">
            <w:pPr>
              <w:spacing w:after="0" w:line="240" w:lineRule="auto"/>
              <w:jc w:val="both"/>
              <w:rPr>
                <w:rFonts w:ascii="Times New Roman" w:eastAsia="Times New Roman" w:hAnsi="Times New Roman" w:cs="Times New Roman"/>
                <w:sz w:val="20"/>
                <w:szCs w:val="20"/>
                <w:lang w:eastAsia="en-GB"/>
              </w:rPr>
            </w:pPr>
          </w:p>
          <w:p w:rsidR="004B0331" w:rsidRPr="00D57C9C" w:rsidRDefault="004B0331" w:rsidP="00DB3A93">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nil"/>
              <w:right w:val="nil"/>
            </w:tcBorders>
            <w:shd w:val="clear" w:color="auto" w:fill="auto"/>
            <w:noWrap/>
            <w:vAlign w:val="center"/>
            <w:hideMark/>
          </w:tcPr>
          <w:p w:rsidR="00F765B9" w:rsidRPr="00D57C9C" w:rsidRDefault="00717D38" w:rsidP="00AA616E">
            <w:pPr>
              <w:jc w:val="right"/>
              <w:rPr>
                <w:rFonts w:ascii="Times New Roman" w:hAnsi="Times New Roman" w:cs="Times New Roman"/>
                <w:b/>
                <w:sz w:val="20"/>
                <w:szCs w:val="20"/>
                <w:highlight w:val="yellow"/>
              </w:rPr>
            </w:pPr>
            <w:r w:rsidRPr="00D57C9C">
              <w:rPr>
                <w:rFonts w:ascii="Times New Roman" w:eastAsia="Times New Roman" w:hAnsi="Times New Roman" w:cs="Times New Roman"/>
                <w:b/>
                <w:bCs/>
                <w:sz w:val="20"/>
                <w:szCs w:val="20"/>
                <w:lang w:eastAsia="en-GB"/>
              </w:rPr>
              <w:t>264.894.593.060</w:t>
            </w:r>
          </w:p>
        </w:tc>
        <w:tc>
          <w:tcPr>
            <w:tcW w:w="2032" w:type="dxa"/>
            <w:tcBorders>
              <w:top w:val="single" w:sz="4" w:space="0" w:color="auto"/>
              <w:left w:val="nil"/>
              <w:bottom w:val="nil"/>
              <w:right w:val="nil"/>
            </w:tcBorders>
            <w:shd w:val="clear" w:color="auto" w:fill="auto"/>
            <w:noWrap/>
            <w:vAlign w:val="center"/>
            <w:hideMark/>
          </w:tcPr>
          <w:p w:rsidR="00F765B9" w:rsidRPr="00D57C9C" w:rsidRDefault="009761A9" w:rsidP="009761A9">
            <w:pPr>
              <w:jc w:val="right"/>
              <w:rPr>
                <w:rFonts w:ascii="Times New Roman" w:hAnsi="Times New Roman" w:cs="Times New Roman"/>
                <w:b/>
                <w:sz w:val="20"/>
                <w:szCs w:val="20"/>
                <w:highlight w:val="yellow"/>
              </w:rPr>
            </w:pPr>
            <w:r>
              <w:rPr>
                <w:rFonts w:ascii="Times New Roman" w:eastAsia="Times New Roman" w:hAnsi="Times New Roman" w:cs="Times New Roman"/>
                <w:b/>
                <w:sz w:val="20"/>
                <w:szCs w:val="20"/>
                <w:lang w:eastAsia="en-GB"/>
              </w:rPr>
              <w:t>257</w:t>
            </w:r>
            <w:r w:rsidR="00B0407F" w:rsidRPr="00D57C9C">
              <w:rPr>
                <w:rFonts w:ascii="Times New Roman" w:eastAsia="Times New Roman" w:hAnsi="Times New Roman" w:cs="Times New Roman"/>
                <w:b/>
                <w:sz w:val="20"/>
                <w:szCs w:val="20"/>
                <w:lang w:eastAsia="en-GB"/>
              </w:rPr>
              <w:t>.</w:t>
            </w:r>
            <w:r>
              <w:rPr>
                <w:rFonts w:ascii="Times New Roman" w:eastAsia="Times New Roman" w:hAnsi="Times New Roman" w:cs="Times New Roman"/>
                <w:b/>
                <w:sz w:val="20"/>
                <w:szCs w:val="20"/>
                <w:lang w:eastAsia="en-GB"/>
              </w:rPr>
              <w:t>816.0</w:t>
            </w:r>
            <w:r w:rsidR="00B0407F" w:rsidRPr="00D57C9C">
              <w:rPr>
                <w:rFonts w:ascii="Times New Roman" w:eastAsia="Times New Roman" w:hAnsi="Times New Roman" w:cs="Times New Roman"/>
                <w:b/>
                <w:sz w:val="20"/>
                <w:szCs w:val="20"/>
                <w:lang w:eastAsia="en-GB"/>
              </w:rPr>
              <w:t>63.191</w:t>
            </w:r>
          </w:p>
        </w:tc>
        <w:tc>
          <w:tcPr>
            <w:tcW w:w="2151" w:type="dxa"/>
            <w:tcBorders>
              <w:top w:val="single" w:sz="4" w:space="0" w:color="auto"/>
              <w:left w:val="nil"/>
              <w:bottom w:val="nil"/>
              <w:right w:val="nil"/>
            </w:tcBorders>
            <w:shd w:val="clear" w:color="auto" w:fill="auto"/>
            <w:noWrap/>
            <w:vAlign w:val="center"/>
            <w:hideMark/>
          </w:tcPr>
          <w:p w:rsidR="00F765B9" w:rsidRPr="00D57C9C" w:rsidRDefault="00B0407F" w:rsidP="00AA616E">
            <w:pPr>
              <w:jc w:val="right"/>
              <w:rPr>
                <w:rFonts w:ascii="Times New Roman" w:hAnsi="Times New Roman" w:cs="Times New Roman"/>
                <w:b/>
                <w:sz w:val="20"/>
                <w:szCs w:val="20"/>
                <w:highlight w:val="yellow"/>
              </w:rPr>
            </w:pPr>
            <w:r w:rsidRPr="00D57C9C">
              <w:rPr>
                <w:rFonts w:ascii="Times New Roman" w:eastAsia="Times New Roman" w:hAnsi="Times New Roman" w:cs="Times New Roman"/>
                <w:b/>
                <w:bCs/>
                <w:sz w:val="20"/>
                <w:szCs w:val="20"/>
                <w:lang w:eastAsia="en-GB"/>
              </w:rPr>
              <w:t>6.133.759.869</w:t>
            </w: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9761A9">
      <w:pPr>
        <w:spacing w:beforeLines="60" w:afterLines="60"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Ind w:w="-342" w:type="dxa"/>
        <w:tblLook w:val="04A0"/>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Bà </w:t>
            </w:r>
            <w:r w:rsidR="00DC158B" w:rsidRPr="00D57C9C">
              <w:rPr>
                <w:rFonts w:ascii="Times New Roman" w:hAnsi="Times New Roman" w:cs="Times New Roman"/>
                <w:b/>
                <w:sz w:val="20"/>
                <w:szCs w:val="20"/>
                <w:lang w:val="vi-VN"/>
              </w:rPr>
              <w:t>Lâm Thị Loan</w:t>
            </w:r>
          </w:p>
        </w:tc>
        <w:tc>
          <w:tcPr>
            <w:tcW w:w="351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D57C9C" w:rsidRDefault="00B71FF1" w:rsidP="006D42CE">
      <w:pPr>
        <w:spacing w:beforeLines="60" w:afterLines="60" w:line="360" w:lineRule="auto"/>
        <w:jc w:val="both"/>
        <w:rPr>
          <w:rFonts w:ascii="Times New Roman" w:hAnsi="Times New Roman" w:cs="Times New Roman"/>
          <w:sz w:val="20"/>
          <w:szCs w:val="20"/>
          <w:lang w:val="vi-VN"/>
        </w:rPr>
      </w:pPr>
    </w:p>
    <w:sectPr w:rsidR="00B71FF1" w:rsidRPr="00D57C9C" w:rsidSect="009C5EC2">
      <w:footerReference w:type="default" r:id="rId8"/>
      <w:pgSz w:w="11906" w:h="16838" w:code="9"/>
      <w:pgMar w:top="1152" w:right="1195"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799" w:rsidRDefault="00A22799" w:rsidP="002169ED">
      <w:pPr>
        <w:spacing w:after="0" w:line="240" w:lineRule="auto"/>
      </w:pPr>
      <w:r>
        <w:separator/>
      </w:r>
    </w:p>
  </w:endnote>
  <w:endnote w:type="continuationSeparator" w:id="0">
    <w:p w:rsidR="00A22799" w:rsidRDefault="00A22799"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A22799" w:rsidRPr="00A06A21" w:rsidRDefault="006D42CE">
        <w:pPr>
          <w:pStyle w:val="Footer"/>
          <w:jc w:val="center"/>
          <w:rPr>
            <w:rFonts w:ascii="Times New Roman" w:hAnsi="Times New Roman"/>
          </w:rPr>
        </w:pPr>
        <w:r w:rsidRPr="00A06A21">
          <w:rPr>
            <w:rFonts w:ascii="Times New Roman" w:hAnsi="Times New Roman"/>
          </w:rPr>
          <w:fldChar w:fldCharType="begin"/>
        </w:r>
        <w:r w:rsidR="00A22799" w:rsidRPr="00A06A21">
          <w:rPr>
            <w:rFonts w:ascii="Times New Roman" w:hAnsi="Times New Roman"/>
          </w:rPr>
          <w:instrText xml:space="preserve"> PAGE   \* MERGEFORMAT </w:instrText>
        </w:r>
        <w:r w:rsidRPr="00A06A21">
          <w:rPr>
            <w:rFonts w:ascii="Times New Roman" w:hAnsi="Times New Roman"/>
          </w:rPr>
          <w:fldChar w:fldCharType="separate"/>
        </w:r>
        <w:r w:rsidR="009761A9">
          <w:rPr>
            <w:rFonts w:ascii="Times New Roman" w:hAnsi="Times New Roman"/>
            <w:noProof/>
          </w:rPr>
          <w:t>11</w:t>
        </w:r>
        <w:r w:rsidRPr="00A06A21">
          <w:rPr>
            <w:rFonts w:ascii="Times New Roman" w:hAnsi="Times New Roman"/>
          </w:rPr>
          <w:fldChar w:fldCharType="end"/>
        </w:r>
      </w:p>
    </w:sdtContent>
  </w:sdt>
  <w:p w:rsidR="00A22799" w:rsidRDefault="00A227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799" w:rsidRDefault="00A22799" w:rsidP="002169ED">
      <w:pPr>
        <w:spacing w:after="0" w:line="240" w:lineRule="auto"/>
      </w:pPr>
      <w:r>
        <w:separator/>
      </w:r>
    </w:p>
  </w:footnote>
  <w:footnote w:type="continuationSeparator" w:id="0">
    <w:p w:rsidR="00A22799" w:rsidRDefault="00A22799"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drawingGridHorizontalSpacing w:val="115"/>
  <w:drawingGridVerticalSpacing w:val="187"/>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B68"/>
    <w:rsid w:val="0004387B"/>
    <w:rsid w:val="000449BD"/>
    <w:rsid w:val="00046B69"/>
    <w:rsid w:val="0004734A"/>
    <w:rsid w:val="000504D4"/>
    <w:rsid w:val="00051E6B"/>
    <w:rsid w:val="00051F45"/>
    <w:rsid w:val="00052238"/>
    <w:rsid w:val="00052F29"/>
    <w:rsid w:val="000611CE"/>
    <w:rsid w:val="00061813"/>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2B61"/>
    <w:rsid w:val="00082FE2"/>
    <w:rsid w:val="000839E2"/>
    <w:rsid w:val="0009004C"/>
    <w:rsid w:val="000909CF"/>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471A"/>
    <w:rsid w:val="000B656A"/>
    <w:rsid w:val="000B74A5"/>
    <w:rsid w:val="000C0017"/>
    <w:rsid w:val="000C09EF"/>
    <w:rsid w:val="000C5215"/>
    <w:rsid w:val="000C54DC"/>
    <w:rsid w:val="000C798C"/>
    <w:rsid w:val="000C7DCA"/>
    <w:rsid w:val="000D1559"/>
    <w:rsid w:val="000D157A"/>
    <w:rsid w:val="000D22E3"/>
    <w:rsid w:val="000D2A91"/>
    <w:rsid w:val="000D2DF4"/>
    <w:rsid w:val="000D7441"/>
    <w:rsid w:val="000D7485"/>
    <w:rsid w:val="000E0F9B"/>
    <w:rsid w:val="000E1A67"/>
    <w:rsid w:val="000E275A"/>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756"/>
    <w:rsid w:val="00124308"/>
    <w:rsid w:val="00124B25"/>
    <w:rsid w:val="00126CA3"/>
    <w:rsid w:val="00126E99"/>
    <w:rsid w:val="001301B6"/>
    <w:rsid w:val="00131415"/>
    <w:rsid w:val="00132130"/>
    <w:rsid w:val="00132636"/>
    <w:rsid w:val="00134A16"/>
    <w:rsid w:val="0013555C"/>
    <w:rsid w:val="00136F94"/>
    <w:rsid w:val="001403DC"/>
    <w:rsid w:val="001435B3"/>
    <w:rsid w:val="0015006F"/>
    <w:rsid w:val="001508FF"/>
    <w:rsid w:val="00152B2B"/>
    <w:rsid w:val="001559C6"/>
    <w:rsid w:val="0015632D"/>
    <w:rsid w:val="001578D8"/>
    <w:rsid w:val="00161135"/>
    <w:rsid w:val="001624AE"/>
    <w:rsid w:val="001628BF"/>
    <w:rsid w:val="00162ADB"/>
    <w:rsid w:val="0016461A"/>
    <w:rsid w:val="00164A3E"/>
    <w:rsid w:val="00167202"/>
    <w:rsid w:val="0017201F"/>
    <w:rsid w:val="0017207B"/>
    <w:rsid w:val="00172823"/>
    <w:rsid w:val="00172DBC"/>
    <w:rsid w:val="00173DED"/>
    <w:rsid w:val="00174607"/>
    <w:rsid w:val="001746A9"/>
    <w:rsid w:val="00176DB5"/>
    <w:rsid w:val="001832ED"/>
    <w:rsid w:val="00185740"/>
    <w:rsid w:val="00185A74"/>
    <w:rsid w:val="00185EA7"/>
    <w:rsid w:val="001866CF"/>
    <w:rsid w:val="00190E63"/>
    <w:rsid w:val="00191B3F"/>
    <w:rsid w:val="00192ECB"/>
    <w:rsid w:val="001938CE"/>
    <w:rsid w:val="00194794"/>
    <w:rsid w:val="0019606A"/>
    <w:rsid w:val="001966B0"/>
    <w:rsid w:val="00197B0C"/>
    <w:rsid w:val="00197D53"/>
    <w:rsid w:val="001A1B16"/>
    <w:rsid w:val="001A2BA4"/>
    <w:rsid w:val="001A316E"/>
    <w:rsid w:val="001A4AD1"/>
    <w:rsid w:val="001A4E90"/>
    <w:rsid w:val="001A5AF8"/>
    <w:rsid w:val="001B01F6"/>
    <w:rsid w:val="001B1DBE"/>
    <w:rsid w:val="001B2301"/>
    <w:rsid w:val="001B2596"/>
    <w:rsid w:val="001B3840"/>
    <w:rsid w:val="001B44DD"/>
    <w:rsid w:val="001B49F4"/>
    <w:rsid w:val="001B5DF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B06"/>
    <w:rsid w:val="0020552C"/>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B81"/>
    <w:rsid w:val="00253677"/>
    <w:rsid w:val="00254E0D"/>
    <w:rsid w:val="00255A60"/>
    <w:rsid w:val="002577ED"/>
    <w:rsid w:val="00260D36"/>
    <w:rsid w:val="002610B7"/>
    <w:rsid w:val="00265982"/>
    <w:rsid w:val="002668DC"/>
    <w:rsid w:val="00266F60"/>
    <w:rsid w:val="00270B24"/>
    <w:rsid w:val="0027444F"/>
    <w:rsid w:val="00276CDE"/>
    <w:rsid w:val="0027794C"/>
    <w:rsid w:val="0028005A"/>
    <w:rsid w:val="00282E0F"/>
    <w:rsid w:val="00284965"/>
    <w:rsid w:val="00284D7A"/>
    <w:rsid w:val="002859D5"/>
    <w:rsid w:val="00286A60"/>
    <w:rsid w:val="00286D87"/>
    <w:rsid w:val="00287044"/>
    <w:rsid w:val="00287ECC"/>
    <w:rsid w:val="00291FD0"/>
    <w:rsid w:val="0029344B"/>
    <w:rsid w:val="00293704"/>
    <w:rsid w:val="00296C7C"/>
    <w:rsid w:val="00296DEA"/>
    <w:rsid w:val="00297BA0"/>
    <w:rsid w:val="002A0A1F"/>
    <w:rsid w:val="002A1690"/>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D2360"/>
    <w:rsid w:val="002D255C"/>
    <w:rsid w:val="002D397C"/>
    <w:rsid w:val="002D51E6"/>
    <w:rsid w:val="002D5345"/>
    <w:rsid w:val="002D6BAA"/>
    <w:rsid w:val="002E0553"/>
    <w:rsid w:val="002E0A9F"/>
    <w:rsid w:val="002E35BB"/>
    <w:rsid w:val="002E7753"/>
    <w:rsid w:val="002F10EC"/>
    <w:rsid w:val="002F1859"/>
    <w:rsid w:val="002F2827"/>
    <w:rsid w:val="002F5ED5"/>
    <w:rsid w:val="00300813"/>
    <w:rsid w:val="00301AA0"/>
    <w:rsid w:val="00302146"/>
    <w:rsid w:val="00304B1B"/>
    <w:rsid w:val="00310513"/>
    <w:rsid w:val="00310E99"/>
    <w:rsid w:val="0031229B"/>
    <w:rsid w:val="0031378E"/>
    <w:rsid w:val="00314DF3"/>
    <w:rsid w:val="00315886"/>
    <w:rsid w:val="00316100"/>
    <w:rsid w:val="003165F0"/>
    <w:rsid w:val="00316747"/>
    <w:rsid w:val="00316BE4"/>
    <w:rsid w:val="003174EF"/>
    <w:rsid w:val="00320166"/>
    <w:rsid w:val="00323D05"/>
    <w:rsid w:val="003242E7"/>
    <w:rsid w:val="00327102"/>
    <w:rsid w:val="00332292"/>
    <w:rsid w:val="003322D9"/>
    <w:rsid w:val="00334018"/>
    <w:rsid w:val="00334DA7"/>
    <w:rsid w:val="00335BFF"/>
    <w:rsid w:val="00335F2B"/>
    <w:rsid w:val="00336F77"/>
    <w:rsid w:val="00337EBE"/>
    <w:rsid w:val="003411EE"/>
    <w:rsid w:val="00341932"/>
    <w:rsid w:val="00342E8F"/>
    <w:rsid w:val="00345857"/>
    <w:rsid w:val="00345963"/>
    <w:rsid w:val="00345D95"/>
    <w:rsid w:val="00350756"/>
    <w:rsid w:val="0035124D"/>
    <w:rsid w:val="00354689"/>
    <w:rsid w:val="00355722"/>
    <w:rsid w:val="00360E7C"/>
    <w:rsid w:val="00360F2B"/>
    <w:rsid w:val="0036126B"/>
    <w:rsid w:val="003624F5"/>
    <w:rsid w:val="003631AF"/>
    <w:rsid w:val="003635F8"/>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6906"/>
    <w:rsid w:val="003A0919"/>
    <w:rsid w:val="003A2E10"/>
    <w:rsid w:val="003A4499"/>
    <w:rsid w:val="003A48BD"/>
    <w:rsid w:val="003A7057"/>
    <w:rsid w:val="003A70AB"/>
    <w:rsid w:val="003B113F"/>
    <w:rsid w:val="003B7526"/>
    <w:rsid w:val="003C0E31"/>
    <w:rsid w:val="003C2984"/>
    <w:rsid w:val="003C32A4"/>
    <w:rsid w:val="003C3A9C"/>
    <w:rsid w:val="003C4D22"/>
    <w:rsid w:val="003C4DB1"/>
    <w:rsid w:val="003C5F56"/>
    <w:rsid w:val="003C6409"/>
    <w:rsid w:val="003D79FF"/>
    <w:rsid w:val="003E210B"/>
    <w:rsid w:val="003E3718"/>
    <w:rsid w:val="003E37E7"/>
    <w:rsid w:val="003E3B60"/>
    <w:rsid w:val="003E3BAE"/>
    <w:rsid w:val="003E3FA0"/>
    <w:rsid w:val="003E4F15"/>
    <w:rsid w:val="003E690F"/>
    <w:rsid w:val="003F09D3"/>
    <w:rsid w:val="003F439C"/>
    <w:rsid w:val="003F5AAA"/>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104F"/>
    <w:rsid w:val="004312EB"/>
    <w:rsid w:val="00431B3D"/>
    <w:rsid w:val="004322F0"/>
    <w:rsid w:val="0043255F"/>
    <w:rsid w:val="00434A34"/>
    <w:rsid w:val="00435312"/>
    <w:rsid w:val="00435EEA"/>
    <w:rsid w:val="00436848"/>
    <w:rsid w:val="00437EF8"/>
    <w:rsid w:val="00440449"/>
    <w:rsid w:val="004405F5"/>
    <w:rsid w:val="0044180B"/>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520A"/>
    <w:rsid w:val="00485C0F"/>
    <w:rsid w:val="00485D89"/>
    <w:rsid w:val="00486A9E"/>
    <w:rsid w:val="004875EC"/>
    <w:rsid w:val="00487E07"/>
    <w:rsid w:val="00492675"/>
    <w:rsid w:val="00492B49"/>
    <w:rsid w:val="004940B1"/>
    <w:rsid w:val="0049443E"/>
    <w:rsid w:val="00494D89"/>
    <w:rsid w:val="00495AD1"/>
    <w:rsid w:val="00496FA4"/>
    <w:rsid w:val="004A1A79"/>
    <w:rsid w:val="004A1FAB"/>
    <w:rsid w:val="004A20B1"/>
    <w:rsid w:val="004A492D"/>
    <w:rsid w:val="004A51A4"/>
    <w:rsid w:val="004A7254"/>
    <w:rsid w:val="004B0331"/>
    <w:rsid w:val="004B1813"/>
    <w:rsid w:val="004B1CC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8DA"/>
    <w:rsid w:val="004D3C12"/>
    <w:rsid w:val="004D4B34"/>
    <w:rsid w:val="004D4E6E"/>
    <w:rsid w:val="004D535F"/>
    <w:rsid w:val="004D6BE8"/>
    <w:rsid w:val="004E0873"/>
    <w:rsid w:val="004E191B"/>
    <w:rsid w:val="004E1DF6"/>
    <w:rsid w:val="004E20C7"/>
    <w:rsid w:val="004E2282"/>
    <w:rsid w:val="004E3C79"/>
    <w:rsid w:val="004E4A4C"/>
    <w:rsid w:val="004E6ED2"/>
    <w:rsid w:val="004E7AB7"/>
    <w:rsid w:val="004F0AB5"/>
    <w:rsid w:val="004F1C39"/>
    <w:rsid w:val="004F28D6"/>
    <w:rsid w:val="004F2D4C"/>
    <w:rsid w:val="004F384C"/>
    <w:rsid w:val="004F443F"/>
    <w:rsid w:val="004F52C8"/>
    <w:rsid w:val="004F59E2"/>
    <w:rsid w:val="004F680C"/>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1394"/>
    <w:rsid w:val="00531716"/>
    <w:rsid w:val="00532709"/>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26A9"/>
    <w:rsid w:val="00562E94"/>
    <w:rsid w:val="00563562"/>
    <w:rsid w:val="00564F2D"/>
    <w:rsid w:val="00567002"/>
    <w:rsid w:val="005719D3"/>
    <w:rsid w:val="005758D3"/>
    <w:rsid w:val="0057648A"/>
    <w:rsid w:val="00581A01"/>
    <w:rsid w:val="00583080"/>
    <w:rsid w:val="00594C14"/>
    <w:rsid w:val="00594E35"/>
    <w:rsid w:val="00596537"/>
    <w:rsid w:val="005A22AD"/>
    <w:rsid w:val="005A350C"/>
    <w:rsid w:val="005A4806"/>
    <w:rsid w:val="005A5D6B"/>
    <w:rsid w:val="005A60CF"/>
    <w:rsid w:val="005A7E26"/>
    <w:rsid w:val="005B46DB"/>
    <w:rsid w:val="005B6C40"/>
    <w:rsid w:val="005B6DDC"/>
    <w:rsid w:val="005C0B35"/>
    <w:rsid w:val="005C0B6E"/>
    <w:rsid w:val="005C1AA0"/>
    <w:rsid w:val="005C27E4"/>
    <w:rsid w:val="005C40FE"/>
    <w:rsid w:val="005C418D"/>
    <w:rsid w:val="005C6356"/>
    <w:rsid w:val="005C7305"/>
    <w:rsid w:val="005D0458"/>
    <w:rsid w:val="005D12CD"/>
    <w:rsid w:val="005D1661"/>
    <w:rsid w:val="005D1A4E"/>
    <w:rsid w:val="005D3847"/>
    <w:rsid w:val="005D4554"/>
    <w:rsid w:val="005D4C16"/>
    <w:rsid w:val="005D651E"/>
    <w:rsid w:val="005D77C0"/>
    <w:rsid w:val="005E5001"/>
    <w:rsid w:val="005E606F"/>
    <w:rsid w:val="005E677D"/>
    <w:rsid w:val="005E7F3D"/>
    <w:rsid w:val="005F2522"/>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682F"/>
    <w:rsid w:val="006178E7"/>
    <w:rsid w:val="00617D2D"/>
    <w:rsid w:val="00620507"/>
    <w:rsid w:val="00622406"/>
    <w:rsid w:val="0062331B"/>
    <w:rsid w:val="00623985"/>
    <w:rsid w:val="00624183"/>
    <w:rsid w:val="006260F6"/>
    <w:rsid w:val="00626C24"/>
    <w:rsid w:val="0063126C"/>
    <w:rsid w:val="006368D6"/>
    <w:rsid w:val="00646CCD"/>
    <w:rsid w:val="00646E75"/>
    <w:rsid w:val="00650EFE"/>
    <w:rsid w:val="0065410C"/>
    <w:rsid w:val="006568A8"/>
    <w:rsid w:val="0065690B"/>
    <w:rsid w:val="00657909"/>
    <w:rsid w:val="00657A31"/>
    <w:rsid w:val="006615D8"/>
    <w:rsid w:val="00662A4F"/>
    <w:rsid w:val="0066696C"/>
    <w:rsid w:val="00670EE3"/>
    <w:rsid w:val="00671168"/>
    <w:rsid w:val="00671561"/>
    <w:rsid w:val="00671855"/>
    <w:rsid w:val="00673437"/>
    <w:rsid w:val="00673BAD"/>
    <w:rsid w:val="006804A8"/>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0A94"/>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58C2"/>
    <w:rsid w:val="00746182"/>
    <w:rsid w:val="00746968"/>
    <w:rsid w:val="00747949"/>
    <w:rsid w:val="0075059C"/>
    <w:rsid w:val="00756CB5"/>
    <w:rsid w:val="00757663"/>
    <w:rsid w:val="00763315"/>
    <w:rsid w:val="00767544"/>
    <w:rsid w:val="007725D9"/>
    <w:rsid w:val="00773BBC"/>
    <w:rsid w:val="007751C8"/>
    <w:rsid w:val="00776D7A"/>
    <w:rsid w:val="0077758C"/>
    <w:rsid w:val="007775C8"/>
    <w:rsid w:val="00780E82"/>
    <w:rsid w:val="0078477D"/>
    <w:rsid w:val="007868C5"/>
    <w:rsid w:val="007904AE"/>
    <w:rsid w:val="00792320"/>
    <w:rsid w:val="00792676"/>
    <w:rsid w:val="00795398"/>
    <w:rsid w:val="00796F7D"/>
    <w:rsid w:val="007A29A6"/>
    <w:rsid w:val="007A3546"/>
    <w:rsid w:val="007A3DC6"/>
    <w:rsid w:val="007A4082"/>
    <w:rsid w:val="007A6469"/>
    <w:rsid w:val="007A7D1B"/>
    <w:rsid w:val="007B2264"/>
    <w:rsid w:val="007B3962"/>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52AE"/>
    <w:rsid w:val="007E63D0"/>
    <w:rsid w:val="007E69F4"/>
    <w:rsid w:val="007E7232"/>
    <w:rsid w:val="007F00B8"/>
    <w:rsid w:val="007F05EF"/>
    <w:rsid w:val="007F2380"/>
    <w:rsid w:val="007F29A1"/>
    <w:rsid w:val="007F34E1"/>
    <w:rsid w:val="007F5916"/>
    <w:rsid w:val="007F7805"/>
    <w:rsid w:val="00802DB0"/>
    <w:rsid w:val="0080328D"/>
    <w:rsid w:val="00805B35"/>
    <w:rsid w:val="00807DA6"/>
    <w:rsid w:val="00807FB4"/>
    <w:rsid w:val="00810394"/>
    <w:rsid w:val="00811A60"/>
    <w:rsid w:val="008146AB"/>
    <w:rsid w:val="00815DEE"/>
    <w:rsid w:val="00816507"/>
    <w:rsid w:val="00821098"/>
    <w:rsid w:val="00821C51"/>
    <w:rsid w:val="008231DA"/>
    <w:rsid w:val="008239B5"/>
    <w:rsid w:val="0082431D"/>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3434"/>
    <w:rsid w:val="00853487"/>
    <w:rsid w:val="0085459F"/>
    <w:rsid w:val="00856B30"/>
    <w:rsid w:val="00857BA5"/>
    <w:rsid w:val="00857DB1"/>
    <w:rsid w:val="00857DFA"/>
    <w:rsid w:val="00860EA2"/>
    <w:rsid w:val="00861136"/>
    <w:rsid w:val="00861E6C"/>
    <w:rsid w:val="00861F11"/>
    <w:rsid w:val="00862478"/>
    <w:rsid w:val="00866BA0"/>
    <w:rsid w:val="00867516"/>
    <w:rsid w:val="008679DA"/>
    <w:rsid w:val="00873705"/>
    <w:rsid w:val="0087402D"/>
    <w:rsid w:val="00875C69"/>
    <w:rsid w:val="00877B44"/>
    <w:rsid w:val="00880B18"/>
    <w:rsid w:val="0088167E"/>
    <w:rsid w:val="00882484"/>
    <w:rsid w:val="008833D3"/>
    <w:rsid w:val="008849DC"/>
    <w:rsid w:val="00886CF9"/>
    <w:rsid w:val="00891C8A"/>
    <w:rsid w:val="008923ED"/>
    <w:rsid w:val="008928C2"/>
    <w:rsid w:val="00893CD1"/>
    <w:rsid w:val="00896431"/>
    <w:rsid w:val="00897352"/>
    <w:rsid w:val="008A0F3D"/>
    <w:rsid w:val="008A11DC"/>
    <w:rsid w:val="008A1833"/>
    <w:rsid w:val="008A639F"/>
    <w:rsid w:val="008A66CC"/>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5CCB"/>
    <w:rsid w:val="008E6EE6"/>
    <w:rsid w:val="008F01A2"/>
    <w:rsid w:val="008F1AAB"/>
    <w:rsid w:val="008F2A9F"/>
    <w:rsid w:val="008F2F77"/>
    <w:rsid w:val="008F39C4"/>
    <w:rsid w:val="008F4A2B"/>
    <w:rsid w:val="008F754B"/>
    <w:rsid w:val="008F7A9B"/>
    <w:rsid w:val="009006A9"/>
    <w:rsid w:val="009018CB"/>
    <w:rsid w:val="00903391"/>
    <w:rsid w:val="009049BD"/>
    <w:rsid w:val="00904CA3"/>
    <w:rsid w:val="009051C3"/>
    <w:rsid w:val="0090650E"/>
    <w:rsid w:val="00907893"/>
    <w:rsid w:val="00907CED"/>
    <w:rsid w:val="00912C83"/>
    <w:rsid w:val="00913E49"/>
    <w:rsid w:val="009145DB"/>
    <w:rsid w:val="00915124"/>
    <w:rsid w:val="00915231"/>
    <w:rsid w:val="00915771"/>
    <w:rsid w:val="00916354"/>
    <w:rsid w:val="00916D81"/>
    <w:rsid w:val="009214B1"/>
    <w:rsid w:val="0092213D"/>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F84"/>
    <w:rsid w:val="009840C6"/>
    <w:rsid w:val="00987A75"/>
    <w:rsid w:val="00990112"/>
    <w:rsid w:val="00991609"/>
    <w:rsid w:val="009916E0"/>
    <w:rsid w:val="00991EB3"/>
    <w:rsid w:val="00996810"/>
    <w:rsid w:val="009A2829"/>
    <w:rsid w:val="009A31D3"/>
    <w:rsid w:val="009A59B0"/>
    <w:rsid w:val="009A77F6"/>
    <w:rsid w:val="009B0BEB"/>
    <w:rsid w:val="009B3E38"/>
    <w:rsid w:val="009B6969"/>
    <w:rsid w:val="009B6BBA"/>
    <w:rsid w:val="009B6D22"/>
    <w:rsid w:val="009C27A8"/>
    <w:rsid w:val="009C3D31"/>
    <w:rsid w:val="009C4D83"/>
    <w:rsid w:val="009C5EC2"/>
    <w:rsid w:val="009D0A82"/>
    <w:rsid w:val="009D1597"/>
    <w:rsid w:val="009D3D83"/>
    <w:rsid w:val="009D522E"/>
    <w:rsid w:val="009E2617"/>
    <w:rsid w:val="009E2756"/>
    <w:rsid w:val="009E41AF"/>
    <w:rsid w:val="009E4505"/>
    <w:rsid w:val="009E46CD"/>
    <w:rsid w:val="009E6C9A"/>
    <w:rsid w:val="009E6D3F"/>
    <w:rsid w:val="009F0CBF"/>
    <w:rsid w:val="009F15E8"/>
    <w:rsid w:val="009F2BEF"/>
    <w:rsid w:val="009F3F4B"/>
    <w:rsid w:val="009F545C"/>
    <w:rsid w:val="009F62D7"/>
    <w:rsid w:val="009F7489"/>
    <w:rsid w:val="009F792D"/>
    <w:rsid w:val="00A004BE"/>
    <w:rsid w:val="00A00D52"/>
    <w:rsid w:val="00A01BE3"/>
    <w:rsid w:val="00A026DF"/>
    <w:rsid w:val="00A03DEC"/>
    <w:rsid w:val="00A06A21"/>
    <w:rsid w:val="00A106D8"/>
    <w:rsid w:val="00A12171"/>
    <w:rsid w:val="00A12E2D"/>
    <w:rsid w:val="00A13A41"/>
    <w:rsid w:val="00A16120"/>
    <w:rsid w:val="00A175E2"/>
    <w:rsid w:val="00A20F27"/>
    <w:rsid w:val="00A22514"/>
    <w:rsid w:val="00A22799"/>
    <w:rsid w:val="00A23884"/>
    <w:rsid w:val="00A242FF"/>
    <w:rsid w:val="00A25289"/>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59C3"/>
    <w:rsid w:val="00A472B7"/>
    <w:rsid w:val="00A47B4D"/>
    <w:rsid w:val="00A505F1"/>
    <w:rsid w:val="00A514A5"/>
    <w:rsid w:val="00A51A3E"/>
    <w:rsid w:val="00A56B2B"/>
    <w:rsid w:val="00A612F6"/>
    <w:rsid w:val="00A6169B"/>
    <w:rsid w:val="00A61C3E"/>
    <w:rsid w:val="00A633C7"/>
    <w:rsid w:val="00A7046A"/>
    <w:rsid w:val="00A712F4"/>
    <w:rsid w:val="00A71B9A"/>
    <w:rsid w:val="00A73122"/>
    <w:rsid w:val="00A75450"/>
    <w:rsid w:val="00A75B9C"/>
    <w:rsid w:val="00A765F6"/>
    <w:rsid w:val="00A77478"/>
    <w:rsid w:val="00A77B34"/>
    <w:rsid w:val="00A80C83"/>
    <w:rsid w:val="00A83339"/>
    <w:rsid w:val="00A8353E"/>
    <w:rsid w:val="00A83FCE"/>
    <w:rsid w:val="00A8443B"/>
    <w:rsid w:val="00A85E10"/>
    <w:rsid w:val="00A948E8"/>
    <w:rsid w:val="00A95AEF"/>
    <w:rsid w:val="00A967C2"/>
    <w:rsid w:val="00A97946"/>
    <w:rsid w:val="00AA044B"/>
    <w:rsid w:val="00AA0936"/>
    <w:rsid w:val="00AA13B9"/>
    <w:rsid w:val="00AA1ACA"/>
    <w:rsid w:val="00AA2659"/>
    <w:rsid w:val="00AA3183"/>
    <w:rsid w:val="00AA616E"/>
    <w:rsid w:val="00AA7DB2"/>
    <w:rsid w:val="00AB10C3"/>
    <w:rsid w:val="00AB3F23"/>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407F"/>
    <w:rsid w:val="00B05F3D"/>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E5C"/>
    <w:rsid w:val="00B541AE"/>
    <w:rsid w:val="00B54B04"/>
    <w:rsid w:val="00B5594B"/>
    <w:rsid w:val="00B5665B"/>
    <w:rsid w:val="00B576CE"/>
    <w:rsid w:val="00B66CA4"/>
    <w:rsid w:val="00B67C89"/>
    <w:rsid w:val="00B70558"/>
    <w:rsid w:val="00B71FF1"/>
    <w:rsid w:val="00B75078"/>
    <w:rsid w:val="00B75AD9"/>
    <w:rsid w:val="00B8096C"/>
    <w:rsid w:val="00B84041"/>
    <w:rsid w:val="00B86290"/>
    <w:rsid w:val="00B86ECE"/>
    <w:rsid w:val="00B9015D"/>
    <w:rsid w:val="00B90FC3"/>
    <w:rsid w:val="00B9184C"/>
    <w:rsid w:val="00B952ED"/>
    <w:rsid w:val="00B965CC"/>
    <w:rsid w:val="00B971EA"/>
    <w:rsid w:val="00B9742E"/>
    <w:rsid w:val="00BA18E8"/>
    <w:rsid w:val="00BA3D8D"/>
    <w:rsid w:val="00BA3F44"/>
    <w:rsid w:val="00BA407E"/>
    <w:rsid w:val="00BA4444"/>
    <w:rsid w:val="00BB06BE"/>
    <w:rsid w:val="00BB2EDD"/>
    <w:rsid w:val="00BB5CB1"/>
    <w:rsid w:val="00BB63A5"/>
    <w:rsid w:val="00BB66FF"/>
    <w:rsid w:val="00BC0653"/>
    <w:rsid w:val="00BC0688"/>
    <w:rsid w:val="00BC099F"/>
    <w:rsid w:val="00BC0DA1"/>
    <w:rsid w:val="00BC4F8F"/>
    <w:rsid w:val="00BC53F9"/>
    <w:rsid w:val="00BC5852"/>
    <w:rsid w:val="00BC67F0"/>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6814"/>
    <w:rsid w:val="00C07211"/>
    <w:rsid w:val="00C075DC"/>
    <w:rsid w:val="00C07C9D"/>
    <w:rsid w:val="00C11BB0"/>
    <w:rsid w:val="00C13063"/>
    <w:rsid w:val="00C13153"/>
    <w:rsid w:val="00C13B5F"/>
    <w:rsid w:val="00C14072"/>
    <w:rsid w:val="00C20039"/>
    <w:rsid w:val="00C2155E"/>
    <w:rsid w:val="00C21868"/>
    <w:rsid w:val="00C239FE"/>
    <w:rsid w:val="00C24738"/>
    <w:rsid w:val="00C2491C"/>
    <w:rsid w:val="00C24BBA"/>
    <w:rsid w:val="00C25DB7"/>
    <w:rsid w:val="00C30B9F"/>
    <w:rsid w:val="00C326E1"/>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A29"/>
    <w:rsid w:val="00C70F80"/>
    <w:rsid w:val="00C71F25"/>
    <w:rsid w:val="00C72D2B"/>
    <w:rsid w:val="00C7345E"/>
    <w:rsid w:val="00C73AAD"/>
    <w:rsid w:val="00C73B5A"/>
    <w:rsid w:val="00C759CF"/>
    <w:rsid w:val="00C77C76"/>
    <w:rsid w:val="00C77F00"/>
    <w:rsid w:val="00C813F5"/>
    <w:rsid w:val="00C82453"/>
    <w:rsid w:val="00C82837"/>
    <w:rsid w:val="00C85C0B"/>
    <w:rsid w:val="00C87D4E"/>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C0EF4"/>
    <w:rsid w:val="00CC1148"/>
    <w:rsid w:val="00CC2213"/>
    <w:rsid w:val="00CC2C6E"/>
    <w:rsid w:val="00CC5118"/>
    <w:rsid w:val="00CC63EF"/>
    <w:rsid w:val="00CC76CF"/>
    <w:rsid w:val="00CD0328"/>
    <w:rsid w:val="00CD0A43"/>
    <w:rsid w:val="00CD12B3"/>
    <w:rsid w:val="00CD1AB4"/>
    <w:rsid w:val="00CD3540"/>
    <w:rsid w:val="00CD3B4B"/>
    <w:rsid w:val="00CD6A39"/>
    <w:rsid w:val="00CD6C32"/>
    <w:rsid w:val="00CE0232"/>
    <w:rsid w:val="00CE159C"/>
    <w:rsid w:val="00CE1FD3"/>
    <w:rsid w:val="00CE2AFD"/>
    <w:rsid w:val="00CE2C5A"/>
    <w:rsid w:val="00CE2D79"/>
    <w:rsid w:val="00CE504E"/>
    <w:rsid w:val="00CE74F6"/>
    <w:rsid w:val="00CF4E99"/>
    <w:rsid w:val="00CF58DA"/>
    <w:rsid w:val="00CF5E76"/>
    <w:rsid w:val="00CF715E"/>
    <w:rsid w:val="00D00D6A"/>
    <w:rsid w:val="00D02267"/>
    <w:rsid w:val="00D037CE"/>
    <w:rsid w:val="00D04A01"/>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3111"/>
    <w:rsid w:val="00D433E6"/>
    <w:rsid w:val="00D434BB"/>
    <w:rsid w:val="00D456AD"/>
    <w:rsid w:val="00D50E6F"/>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52C1"/>
    <w:rsid w:val="00D8553C"/>
    <w:rsid w:val="00D862DB"/>
    <w:rsid w:val="00D91A1C"/>
    <w:rsid w:val="00DA0062"/>
    <w:rsid w:val="00DA268E"/>
    <w:rsid w:val="00DA26D6"/>
    <w:rsid w:val="00DA3455"/>
    <w:rsid w:val="00DA354C"/>
    <w:rsid w:val="00DA375B"/>
    <w:rsid w:val="00DA37DF"/>
    <w:rsid w:val="00DA48DB"/>
    <w:rsid w:val="00DA5489"/>
    <w:rsid w:val="00DA7890"/>
    <w:rsid w:val="00DB1413"/>
    <w:rsid w:val="00DB3A93"/>
    <w:rsid w:val="00DB3E79"/>
    <w:rsid w:val="00DB42C6"/>
    <w:rsid w:val="00DB44C1"/>
    <w:rsid w:val="00DB4803"/>
    <w:rsid w:val="00DB7B44"/>
    <w:rsid w:val="00DC158B"/>
    <w:rsid w:val="00DC1D2A"/>
    <w:rsid w:val="00DC20E7"/>
    <w:rsid w:val="00DD0297"/>
    <w:rsid w:val="00DD1B55"/>
    <w:rsid w:val="00DD3B68"/>
    <w:rsid w:val="00DD3B6D"/>
    <w:rsid w:val="00DD565F"/>
    <w:rsid w:val="00DD5CC1"/>
    <w:rsid w:val="00DE165A"/>
    <w:rsid w:val="00DE251B"/>
    <w:rsid w:val="00DE3764"/>
    <w:rsid w:val="00DE507A"/>
    <w:rsid w:val="00DF51A2"/>
    <w:rsid w:val="00DF5EE9"/>
    <w:rsid w:val="00DF6FED"/>
    <w:rsid w:val="00E0044D"/>
    <w:rsid w:val="00E01564"/>
    <w:rsid w:val="00E01655"/>
    <w:rsid w:val="00E032A0"/>
    <w:rsid w:val="00E04019"/>
    <w:rsid w:val="00E04EB4"/>
    <w:rsid w:val="00E05D31"/>
    <w:rsid w:val="00E1164A"/>
    <w:rsid w:val="00E12BA8"/>
    <w:rsid w:val="00E177A2"/>
    <w:rsid w:val="00E2197F"/>
    <w:rsid w:val="00E227B6"/>
    <w:rsid w:val="00E23C2B"/>
    <w:rsid w:val="00E24F1E"/>
    <w:rsid w:val="00E26127"/>
    <w:rsid w:val="00E265CA"/>
    <w:rsid w:val="00E27D08"/>
    <w:rsid w:val="00E305DC"/>
    <w:rsid w:val="00E3360A"/>
    <w:rsid w:val="00E34A50"/>
    <w:rsid w:val="00E366B4"/>
    <w:rsid w:val="00E369AB"/>
    <w:rsid w:val="00E3729A"/>
    <w:rsid w:val="00E3787F"/>
    <w:rsid w:val="00E41D94"/>
    <w:rsid w:val="00E41E89"/>
    <w:rsid w:val="00E427B4"/>
    <w:rsid w:val="00E42A30"/>
    <w:rsid w:val="00E51E4D"/>
    <w:rsid w:val="00E53360"/>
    <w:rsid w:val="00E53B5B"/>
    <w:rsid w:val="00E5466C"/>
    <w:rsid w:val="00E54EC3"/>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644"/>
    <w:rsid w:val="00E7787B"/>
    <w:rsid w:val="00E810AE"/>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A74"/>
    <w:rsid w:val="00EB7003"/>
    <w:rsid w:val="00EB70C8"/>
    <w:rsid w:val="00EB723A"/>
    <w:rsid w:val="00EC0F47"/>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65A1"/>
    <w:rsid w:val="00F21588"/>
    <w:rsid w:val="00F21A59"/>
    <w:rsid w:val="00F23EC8"/>
    <w:rsid w:val="00F24628"/>
    <w:rsid w:val="00F25807"/>
    <w:rsid w:val="00F26C5F"/>
    <w:rsid w:val="00F31260"/>
    <w:rsid w:val="00F31910"/>
    <w:rsid w:val="00F31A64"/>
    <w:rsid w:val="00F3233F"/>
    <w:rsid w:val="00F34694"/>
    <w:rsid w:val="00F35A97"/>
    <w:rsid w:val="00F44795"/>
    <w:rsid w:val="00F448C0"/>
    <w:rsid w:val="00F448FD"/>
    <w:rsid w:val="00F45D2A"/>
    <w:rsid w:val="00F52E39"/>
    <w:rsid w:val="00F558AE"/>
    <w:rsid w:val="00F55982"/>
    <w:rsid w:val="00F5685F"/>
    <w:rsid w:val="00F6276D"/>
    <w:rsid w:val="00F67635"/>
    <w:rsid w:val="00F71C2C"/>
    <w:rsid w:val="00F74976"/>
    <w:rsid w:val="00F75B7A"/>
    <w:rsid w:val="00F765B9"/>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5206"/>
    <w:rsid w:val="00FB595E"/>
    <w:rsid w:val="00FC008E"/>
    <w:rsid w:val="00FC08E7"/>
    <w:rsid w:val="00FC11E9"/>
    <w:rsid w:val="00FC16EA"/>
    <w:rsid w:val="00FC24FB"/>
    <w:rsid w:val="00FC5472"/>
    <w:rsid w:val="00FC55DC"/>
    <w:rsid w:val="00FD34C8"/>
    <w:rsid w:val="00FD431F"/>
    <w:rsid w:val="00FD69BF"/>
    <w:rsid w:val="00FE0BED"/>
    <w:rsid w:val="00FE167F"/>
    <w:rsid w:val="00FE2B83"/>
    <w:rsid w:val="00FE3BE2"/>
    <w:rsid w:val="00FF0034"/>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e766d32099ce4af59e1342e18c64c32d.psdsxs" Id="R7eab1beb0c374d61" /><Relationship Type="http://schemas.openxmlformats.org/package/2006/relationships/digital-signature/signature" Target="/package/services/digital-signature/xml-signature/05b0471094c448edabcd6e14911fe6fc.psdsxs" Id="R25d7b38e454545ea"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lql31RP7VDKoNi+3IOK7RuTwqjo=</DigestValue>
    </Reference>
    <Reference URI="#idOfficeObject" Type="http://www.w3.org/2000/09/xmldsig#Object">
      <DigestMethod Algorithm="http://www.w3.org/2000/09/xmldsig#sha1"/>
      <DigestValue>J98+JPGa3W5jrFyzroQ1kzqhQek=</DigestValue>
    </Reference>
  </SignedInfo>
  <SignatureValue>
    U4JlTI91FAqNUW278d90jWjoHZKjrY/fdL31znoxdRWfocQs7AWqEvcouuFV5jpx7WGIbRjl
    Hu7XkVhAOejBWJek4WciilpyCzVDy8D2zbD/ZCS3QVytAuJkYbzw0hNIGA/0vuhfsc0nDJCS
    boPQhEHW0ACt6UGbVtrVML/cr3E=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sXAcpt8ExRaORcWKnBfHPpB+x3w=</DigestValue>
      </Reference>
      <Reference URI="/word/endnotes.xml?ContentType=application/vnd.openxmlformats-officedocument.wordprocessingml.endnotes+xml">
        <DigestMethod Algorithm="http://www.w3.org/2000/09/xmldsig#sha1"/>
        <DigestValue>1Sq4qG/OqEcWU98Mz99iRIdJqxY=</DigestValue>
      </Reference>
      <Reference URI="/word/fontTable.xml?ContentType=application/vnd.openxmlformats-officedocument.wordprocessingml.fontTable+xml">
        <DigestMethod Algorithm="http://www.w3.org/2000/09/xmldsig#sha1"/>
        <DigestValue>0etrvaqczovFrX6CwLOZWhhQX0k=</DigestValue>
      </Reference>
      <Reference URI="/word/footer1.xml?ContentType=application/vnd.openxmlformats-officedocument.wordprocessingml.footer+xml">
        <DigestMethod Algorithm="http://www.w3.org/2000/09/xmldsig#sha1"/>
        <DigestValue>1MthhTiwYunvOrfAcSsz3jLEqkE=</DigestValue>
      </Reference>
      <Reference URI="/word/footnotes.xml?ContentType=application/vnd.openxmlformats-officedocument.wordprocessingml.footnotes+xml">
        <DigestMethod Algorithm="http://www.w3.org/2000/09/xmldsig#sha1"/>
        <DigestValue>cB1DV4xyzF2vgCONibregKXkhAo=</DigestValue>
      </Reference>
      <Reference URI="/word/numbering.xml?ContentType=application/vnd.openxmlformats-officedocument.wordprocessingml.numbering+xml">
        <DigestMethod Algorithm="http://www.w3.org/2000/09/xmldsig#sha1"/>
        <DigestValue>6UQSthn6k+3k1fZwb8gg1FzAmoQ=</DigestValue>
      </Reference>
      <Reference URI="/word/settings.xml?ContentType=application/vnd.openxmlformats-officedocument.wordprocessingml.settings+xml">
        <DigestMethod Algorithm="http://www.w3.org/2000/09/xmldsig#sha1"/>
        <DigestValue>93KLURkqDP8XzjFXv/Z0izXMax4=</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lW1aS6D6ITlGqui8CqPDdapvghk=</DigestValue>
      </Reference>
    </Manifest>
    <SignatureProperties>
      <SignatureProperty Id="idSignatureTime" Target="#idPackageSignature">
        <mdssi:SignatureTime>
          <mdssi:Format>YYYY-MM-DDThh:mm:ssTZD</mdssi:Format>
          <mdssi:Value>2018-10-15T10:36:22Z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31DE10-ACAD-463B-B1DC-0C20A7474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4813</Words>
  <Characters>27440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1404627</cp:lastModifiedBy>
  <cp:revision>7</cp:revision>
  <cp:lastPrinted>2016-07-14T04:37:00Z</cp:lastPrinted>
  <dcterms:created xsi:type="dcterms:W3CDTF">2018-10-11T11:43:00Z</dcterms:created>
  <dcterms:modified xsi:type="dcterms:W3CDTF">2018-10-12T08:49:00Z</dcterms:modified>
</cp:coreProperties>
</file>